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B5" w:rsidRPr="00AE537A" w:rsidRDefault="00E309B5" w:rsidP="00D52C24">
      <w:pPr>
        <w:spacing w:after="0" w:line="240" w:lineRule="auto"/>
        <w:jc w:val="center"/>
        <w:rPr>
          <w:rFonts w:ascii="Arial" w:hAnsi="Arial" w:cs="Arial"/>
          <w:b/>
          <w:color w:val="494B59"/>
          <w:sz w:val="18"/>
          <w:szCs w:val="18"/>
        </w:rPr>
      </w:pPr>
      <w:bookmarkStart w:id="0" w:name="_GoBack"/>
      <w:bookmarkEnd w:id="0"/>
      <w:r w:rsidRPr="00AE537A">
        <w:rPr>
          <w:rFonts w:ascii="Arial" w:hAnsi="Arial" w:cs="Arial"/>
          <w:b/>
          <w:color w:val="494B59"/>
          <w:sz w:val="18"/>
          <w:szCs w:val="18"/>
        </w:rPr>
        <w:t xml:space="preserve">You are responsible for accurately categorizing your HCP/HCO spend into the </w:t>
      </w:r>
      <w:r w:rsidRPr="00AE537A">
        <w:rPr>
          <w:rFonts w:ascii="Arial" w:hAnsi="Arial" w:cs="Arial"/>
          <w:b/>
          <w:color w:val="494B59"/>
          <w:sz w:val="18"/>
          <w:szCs w:val="18"/>
          <w:u w:val="single"/>
        </w:rPr>
        <w:t>best</w:t>
      </w:r>
      <w:r w:rsidRPr="00AE537A">
        <w:rPr>
          <w:rFonts w:ascii="Arial" w:hAnsi="Arial" w:cs="Arial"/>
          <w:b/>
          <w:color w:val="494B59"/>
          <w:sz w:val="18"/>
          <w:szCs w:val="18"/>
        </w:rPr>
        <w:t xml:space="preserve"> Business Purpose Code described below. Bioventus Sales will typically use one of the highlighted options.</w:t>
      </w:r>
    </w:p>
    <w:p w:rsidR="00BE6231" w:rsidRPr="00AE537A" w:rsidRDefault="00BE6231" w:rsidP="00BE6231">
      <w:pPr>
        <w:spacing w:after="0" w:line="240" w:lineRule="auto"/>
        <w:rPr>
          <w:rFonts w:ascii="Arial" w:hAnsi="Arial" w:cs="Arial"/>
          <w:b/>
          <w:color w:val="494B59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10183"/>
      </w:tblGrid>
      <w:tr w:rsidR="00E309B5" w:rsidRPr="00AE537A" w:rsidTr="00391FDA">
        <w:trPr>
          <w:tblHeader/>
        </w:trPr>
        <w:tc>
          <w:tcPr>
            <w:tcW w:w="4433" w:type="dxa"/>
            <w:tcBorders>
              <w:bottom w:val="single" w:sz="4" w:space="0" w:color="auto"/>
            </w:tcBorders>
          </w:tcPr>
          <w:p w:rsidR="00E309B5" w:rsidRPr="00AE537A" w:rsidRDefault="00E309B5" w:rsidP="007A2403">
            <w:pPr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Expense Type - HCP Expenses</w:t>
            </w:r>
          </w:p>
          <w:p w:rsidR="00E309B5" w:rsidRPr="00AE537A" w:rsidRDefault="00E309B5" w:rsidP="00AE537A">
            <w:pPr>
              <w:ind w:left="360"/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sym w:font="Wingdings 3" w:char="F0CA"/>
            </w: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HCP Business Purpose</w:t>
            </w:r>
          </w:p>
        </w:tc>
        <w:tc>
          <w:tcPr>
            <w:tcW w:w="10183" w:type="dxa"/>
            <w:tcBorders>
              <w:bottom w:val="single" w:sz="4" w:space="0" w:color="auto"/>
            </w:tcBorders>
            <w:vAlign w:val="bottom"/>
          </w:tcPr>
          <w:p w:rsidR="00E309B5" w:rsidRPr="00AE537A" w:rsidRDefault="00391FDA" w:rsidP="00391FDA">
            <w:pPr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94B59"/>
                <w:sz w:val="18"/>
                <w:szCs w:val="18"/>
              </w:rPr>
              <w:t>Examples</w:t>
            </w:r>
          </w:p>
        </w:tc>
      </w:tr>
      <w:tr w:rsidR="00E309B5" w:rsidRPr="00AE537A" w:rsidTr="00391FDA">
        <w:trPr>
          <w:trHeight w:hRule="exact" w:val="72"/>
          <w:tblHeader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E309B5" w:rsidRPr="00AE537A" w:rsidRDefault="00E309B5" w:rsidP="007A2403">
            <w:pPr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</w:tcPr>
          <w:p w:rsidR="00E309B5" w:rsidRPr="00AE537A" w:rsidRDefault="00E309B5" w:rsidP="007A2403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E309B5" w:rsidRPr="00AE537A" w:rsidTr="00391FDA">
        <w:tc>
          <w:tcPr>
            <w:tcW w:w="4433" w:type="dxa"/>
            <w:tcBorders>
              <w:top w:val="single" w:sz="4" w:space="0" w:color="auto"/>
            </w:tcBorders>
          </w:tcPr>
          <w:p w:rsidR="00E309B5" w:rsidRPr="00AE537A" w:rsidRDefault="00E309B5" w:rsidP="00E309B5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 xml:space="preserve">HCP – </w:t>
            </w:r>
            <w:r w:rsidR="009C16D2">
              <w:rPr>
                <w:rFonts w:ascii="Arial" w:hAnsi="Arial" w:cs="Arial"/>
                <w:color w:val="494B59"/>
                <w:sz w:val="18"/>
                <w:szCs w:val="18"/>
              </w:rPr>
              <w:t>Advertising</w:t>
            </w:r>
          </w:p>
          <w:p w:rsidR="00E309B5" w:rsidRPr="00AE537A" w:rsidRDefault="00E309B5" w:rsidP="00AE537A">
            <w:pPr>
              <w:pStyle w:val="NoSpacing"/>
              <w:ind w:left="360"/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sym w:font="Wingdings 3" w:char="F0CA"/>
            </w: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HCP Business Purpose</w:t>
            </w:r>
          </w:p>
          <w:p w:rsidR="00E309B5" w:rsidRPr="00AE537A" w:rsidRDefault="009C16D2" w:rsidP="00AE537A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>
              <w:rPr>
                <w:rFonts w:ascii="Arial" w:hAnsi="Arial" w:cs="Arial"/>
                <w:color w:val="494B59"/>
                <w:sz w:val="18"/>
                <w:szCs w:val="18"/>
              </w:rPr>
              <w:t>Advertising</w:t>
            </w:r>
          </w:p>
        </w:tc>
        <w:tc>
          <w:tcPr>
            <w:tcW w:w="10183" w:type="dxa"/>
            <w:tcBorders>
              <w:top w:val="single" w:sz="4" w:space="0" w:color="auto"/>
            </w:tcBorders>
          </w:tcPr>
          <w:p w:rsidR="00E309B5" w:rsidRPr="00AE537A" w:rsidRDefault="00E309B5" w:rsidP="007A2403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E309B5" w:rsidRPr="00AE537A" w:rsidRDefault="00E309B5" w:rsidP="007A2403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E309B5" w:rsidRPr="00AE537A" w:rsidRDefault="00E309B5" w:rsidP="009C16D2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 xml:space="preserve">(i.e. </w:t>
            </w:r>
            <w:r w:rsidR="009C16D2">
              <w:rPr>
                <w:rFonts w:ascii="Arial" w:hAnsi="Arial" w:cs="Arial"/>
                <w:color w:val="494B59"/>
                <w:sz w:val="18"/>
                <w:szCs w:val="18"/>
              </w:rPr>
              <w:t>Sales Rep pays for advertising in a local office</w:t>
            </w: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)</w:t>
            </w:r>
          </w:p>
        </w:tc>
      </w:tr>
      <w:tr w:rsidR="009C16D2" w:rsidRPr="00AE537A" w:rsidTr="00F4485C">
        <w:tc>
          <w:tcPr>
            <w:tcW w:w="4433" w:type="dxa"/>
          </w:tcPr>
          <w:p w:rsidR="009C16D2" w:rsidRPr="00AE537A" w:rsidRDefault="009C16D2" w:rsidP="00F4485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F4485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F4485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HCP – Airfare</w:t>
            </w:r>
          </w:p>
          <w:p w:rsidR="009C16D2" w:rsidRPr="00AE537A" w:rsidRDefault="009C16D2" w:rsidP="00F4485C">
            <w:pPr>
              <w:pStyle w:val="NoSpacing"/>
              <w:ind w:left="360"/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sym w:font="Wingdings 3" w:char="F0CA"/>
            </w: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HCP Business Purpose</w:t>
            </w:r>
          </w:p>
          <w:p w:rsidR="009C16D2" w:rsidRPr="00AE537A" w:rsidRDefault="009C16D2" w:rsidP="00F4485C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Clinical Trial/Research Airfare</w:t>
            </w:r>
          </w:p>
        </w:tc>
        <w:tc>
          <w:tcPr>
            <w:tcW w:w="10183" w:type="dxa"/>
          </w:tcPr>
          <w:p w:rsidR="009C16D2" w:rsidRPr="00AE537A" w:rsidRDefault="009C16D2" w:rsidP="00F4485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F4485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F4485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Bioventus clinical trial principal investigators necessary airfare)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AE537A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Faculty/Speaker Airfare</w:t>
            </w:r>
          </w:p>
        </w:tc>
        <w:tc>
          <w:tcPr>
            <w:tcW w:w="10183" w:type="dxa"/>
          </w:tcPr>
          <w:p w:rsidR="009C16D2" w:rsidRPr="00AE537A" w:rsidRDefault="009C16D2" w:rsidP="007A2403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Airfare for Bioventus speakers to meetings as specified in their contracts)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AE537A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Non-Faculty/Non-Speaker Airfare</w:t>
            </w:r>
          </w:p>
        </w:tc>
        <w:tc>
          <w:tcPr>
            <w:tcW w:w="10183" w:type="dxa"/>
          </w:tcPr>
          <w:p w:rsidR="009C16D2" w:rsidRPr="00AE537A" w:rsidRDefault="009C16D2" w:rsidP="007A2403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Airfare for attendees at a Bioventus Science Summit or other similar Bioventus events)</w:t>
            </w:r>
          </w:p>
        </w:tc>
      </w:tr>
      <w:tr w:rsidR="009C16D2" w:rsidRPr="00AE537A" w:rsidTr="009C16D2">
        <w:trPr>
          <w:trHeight w:val="80"/>
        </w:trPr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HCP – Auto / Train / Gasoline</w:t>
            </w:r>
          </w:p>
          <w:p w:rsidR="009C16D2" w:rsidRPr="00AE537A" w:rsidRDefault="009C16D2" w:rsidP="003E581D">
            <w:pPr>
              <w:pStyle w:val="NoSpacing"/>
              <w:ind w:left="360"/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sym w:font="Wingdings 3" w:char="F0CA"/>
            </w: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HCP Business Purpose</w:t>
            </w:r>
          </w:p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Clinical Trial/Research Transportation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Bioventus clinical trial principal investigators necessary ground transportation)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Consultant Transportation (Non-Clinical)</w:t>
            </w:r>
          </w:p>
        </w:tc>
        <w:tc>
          <w:tcPr>
            <w:tcW w:w="10183" w:type="dxa"/>
          </w:tcPr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Ground transportation for Bioventus Advisory Board and other consultants as required under their contract)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Faculty/Speaker Transportation</w:t>
            </w:r>
          </w:p>
        </w:tc>
        <w:tc>
          <w:tcPr>
            <w:tcW w:w="10183" w:type="dxa"/>
          </w:tcPr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Ground transportation for Bioventus speakers to meetings as specified in their contracts)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Faculty/Non-Speaker Transportation</w:t>
            </w:r>
          </w:p>
        </w:tc>
        <w:tc>
          <w:tcPr>
            <w:tcW w:w="10183" w:type="dxa"/>
          </w:tcPr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Ground transportation for attendees at a Bioventus Science Summit or other similar Bioventus events)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HCP – Education Materials</w:t>
            </w:r>
          </w:p>
          <w:p w:rsidR="009C16D2" w:rsidRPr="00AE537A" w:rsidRDefault="009C16D2" w:rsidP="003E581D">
            <w:pPr>
              <w:pStyle w:val="NoSpacing"/>
              <w:ind w:left="360"/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sym w:font="Wingdings 3" w:char="F0CA"/>
            </w: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HCP Business Purpose</w:t>
            </w:r>
          </w:p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  <w:highlight w:val="yellow"/>
              </w:rPr>
              <w:t>Physician Educational Materials</w:t>
            </w:r>
          </w:p>
        </w:tc>
        <w:tc>
          <w:tcPr>
            <w:tcW w:w="10183" w:type="dxa"/>
          </w:tcPr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Reprints of scientific journals)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HCP – Hotel &amp; Accommodations</w:t>
            </w:r>
          </w:p>
          <w:p w:rsidR="009C16D2" w:rsidRPr="00AE537A" w:rsidRDefault="009C16D2" w:rsidP="003E581D">
            <w:pPr>
              <w:pStyle w:val="NoSpacing"/>
              <w:ind w:left="360"/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sym w:font="Wingdings 3" w:char="F0CA"/>
            </w: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HCP Business Purpose</w:t>
            </w:r>
          </w:p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Clinical Trial/Research Lodging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Bioventus clinical trial principal investigators necessary lodging)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Consultant Lodging (Non-Clinical)</w:t>
            </w:r>
          </w:p>
        </w:tc>
        <w:tc>
          <w:tcPr>
            <w:tcW w:w="10183" w:type="dxa"/>
          </w:tcPr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Lodging for Bioventus Advisory Board and other consultants as required under their contract)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Faculty/Speaker Lodging</w:t>
            </w:r>
          </w:p>
        </w:tc>
        <w:tc>
          <w:tcPr>
            <w:tcW w:w="10183" w:type="dxa"/>
          </w:tcPr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Lodging for Bioventus speakers to meetings as specified in their contracts)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Non-Faculty/Non-Speaker Lodging</w:t>
            </w:r>
          </w:p>
        </w:tc>
        <w:tc>
          <w:tcPr>
            <w:tcW w:w="10183" w:type="dxa"/>
          </w:tcPr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Lodging for attendees at a Bioventus Science Summit or other similar Bioventus events)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HCP – Meals – External</w:t>
            </w:r>
          </w:p>
          <w:p w:rsidR="009C16D2" w:rsidRPr="00AE537A" w:rsidRDefault="009C16D2" w:rsidP="003E581D">
            <w:pPr>
              <w:pStyle w:val="NoSpacing"/>
              <w:ind w:left="360"/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sym w:font="Wingdings 3" w:char="F0CA"/>
            </w: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HCP Business Purpose</w:t>
            </w:r>
          </w:p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Clinical Trial/Research Food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Bioventus clinical trial principal investigators necessary reasonable meal expenses)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Consultant Food (Non-Clinical)</w:t>
            </w:r>
          </w:p>
        </w:tc>
        <w:tc>
          <w:tcPr>
            <w:tcW w:w="10183" w:type="dxa"/>
          </w:tcPr>
          <w:p w:rsidR="009C16D2" w:rsidRPr="00AE537A" w:rsidRDefault="009C16D2" w:rsidP="002F323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Reasonable meal expenses for Bioventus Advisory Board and other consultants as required under their contract)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Faculty/Speaker Food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Reasonable meal expenses for Bioventus speakers to meetings as specified in their contracts)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  <w:highlight w:val="yellow"/>
              </w:rPr>
              <w:t>Non-Faculty/Non-Speaker Food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Reasonable meal expenses for attendees at a Bioventus Science Summit or other similar Bioventus events)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HCP – Parking, Tolls</w:t>
            </w:r>
          </w:p>
          <w:p w:rsidR="009C16D2" w:rsidRPr="00AE537A" w:rsidRDefault="009C16D2" w:rsidP="003E581D">
            <w:pPr>
              <w:pStyle w:val="NoSpacing"/>
              <w:ind w:left="360"/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sym w:font="Wingdings 3" w:char="F0CA"/>
            </w: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HCP Business Purpose</w:t>
            </w:r>
          </w:p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Clinical Trial/Research Transportation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BE6231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Bioventus clinical trial principal investigators necessary parking and tolls)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Consultant Transportation (Non-Clinical)</w:t>
            </w:r>
          </w:p>
        </w:tc>
        <w:tc>
          <w:tcPr>
            <w:tcW w:w="10183" w:type="dxa"/>
          </w:tcPr>
          <w:p w:rsidR="009C16D2" w:rsidRPr="00AE537A" w:rsidRDefault="009C16D2" w:rsidP="00BE6231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Parking and tolls for Bioventus Advisory Board and other consultants as required under their contract)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Faculty/Speaker Transportation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Parking and tolls for Bioventus speakers to meetings as specified in their contracts)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Faculty/Non-Speaker Transportation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Parking and tolls for attendees at a Bioventus Science Summit or other similar Bioventus events)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2F323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lastRenderedPageBreak/>
              <w:t>HCP – Personal Mileage</w:t>
            </w:r>
          </w:p>
          <w:p w:rsidR="009C16D2" w:rsidRPr="00AE537A" w:rsidRDefault="009C16D2" w:rsidP="003E581D">
            <w:pPr>
              <w:pStyle w:val="NoSpacing"/>
              <w:ind w:left="360"/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sym w:font="Wingdings 3" w:char="F0CA"/>
            </w: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HCP Business Purpose</w:t>
            </w:r>
          </w:p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Clinical Trial/Research Transportation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BE6231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Bioventus clinical trial principal investigators necessary personal mileage reimbursement)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Consultant Transportation (Non-Clinical)</w:t>
            </w:r>
          </w:p>
        </w:tc>
        <w:tc>
          <w:tcPr>
            <w:tcW w:w="10183" w:type="dxa"/>
          </w:tcPr>
          <w:p w:rsidR="009C16D2" w:rsidRPr="00AE537A" w:rsidRDefault="009C16D2" w:rsidP="00BE6231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Personal mileage reimbursement for Bioventus Advisory Board and other consultants as required under their contract)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Faculty/Speaker Transportation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Personal mileage reimbursement for Bioventus speakers to meetings as specified in their contracts)</w:t>
            </w:r>
          </w:p>
        </w:tc>
      </w:tr>
      <w:tr w:rsidR="009C16D2" w:rsidRPr="00AE537A" w:rsidTr="009C16D2">
        <w:tc>
          <w:tcPr>
            <w:tcW w:w="4433" w:type="dxa"/>
          </w:tcPr>
          <w:p w:rsidR="009C16D2" w:rsidRPr="00AE537A" w:rsidRDefault="009C16D2" w:rsidP="003E581D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>
              <w:rPr>
                <w:rFonts w:ascii="Arial" w:hAnsi="Arial" w:cs="Arial"/>
                <w:color w:val="494B59"/>
                <w:sz w:val="18"/>
                <w:szCs w:val="18"/>
              </w:rPr>
              <w:t>F</w:t>
            </w: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aculty/Non-Speaker Transportation</w:t>
            </w:r>
          </w:p>
        </w:tc>
        <w:tc>
          <w:tcPr>
            <w:tcW w:w="10183" w:type="dxa"/>
          </w:tcPr>
          <w:p w:rsidR="009C16D2" w:rsidRPr="00AE537A" w:rsidRDefault="009C16D2" w:rsidP="00C11B4D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(i.e. Personal mileage reimbursement for attendees at a Bioventus Science Summit or other similar Bioventus events)</w:t>
            </w:r>
          </w:p>
        </w:tc>
      </w:tr>
      <w:tr w:rsidR="009C16D2" w:rsidRPr="00AE537A" w:rsidTr="00F4485C">
        <w:tc>
          <w:tcPr>
            <w:tcW w:w="4433" w:type="dxa"/>
          </w:tcPr>
          <w:p w:rsidR="009C16D2" w:rsidRPr="00AE537A" w:rsidRDefault="009C16D2" w:rsidP="00F4485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  <w:tc>
          <w:tcPr>
            <w:tcW w:w="10183" w:type="dxa"/>
          </w:tcPr>
          <w:p w:rsidR="009C16D2" w:rsidRPr="00AE537A" w:rsidRDefault="009C16D2" w:rsidP="00F4485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</w:tc>
      </w:tr>
      <w:tr w:rsidR="009C16D2" w:rsidRPr="00AE537A" w:rsidTr="009C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9C16D2" w:rsidRPr="00AE537A" w:rsidRDefault="009C16D2" w:rsidP="00F4485C">
            <w:pPr>
              <w:pStyle w:val="NoSpacing"/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 xml:space="preserve">HCP – </w:t>
            </w:r>
            <w:r>
              <w:rPr>
                <w:rFonts w:ascii="Arial" w:hAnsi="Arial" w:cs="Arial"/>
                <w:color w:val="494B59"/>
                <w:sz w:val="18"/>
                <w:szCs w:val="18"/>
              </w:rPr>
              <w:t>Vendor Credentialing</w:t>
            </w:r>
          </w:p>
          <w:p w:rsidR="009C16D2" w:rsidRPr="00AE537A" w:rsidRDefault="009C16D2" w:rsidP="00F4485C">
            <w:pPr>
              <w:pStyle w:val="NoSpacing"/>
              <w:ind w:left="360"/>
              <w:rPr>
                <w:rFonts w:ascii="Arial" w:hAnsi="Arial" w:cs="Arial"/>
                <w:b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sym w:font="Wingdings 3" w:char="F0CA"/>
            </w:r>
            <w:r w:rsidRPr="00AE537A">
              <w:rPr>
                <w:rFonts w:ascii="Arial" w:hAnsi="Arial" w:cs="Arial"/>
                <w:b/>
                <w:color w:val="494B59"/>
                <w:sz w:val="18"/>
                <w:szCs w:val="18"/>
              </w:rPr>
              <w:t>HCP Business Purpose</w:t>
            </w:r>
          </w:p>
          <w:p w:rsidR="009C16D2" w:rsidRPr="00AE537A" w:rsidRDefault="009C16D2" w:rsidP="00F4485C">
            <w:pPr>
              <w:pStyle w:val="NoSpacing"/>
              <w:ind w:left="540"/>
              <w:rPr>
                <w:rFonts w:ascii="Arial" w:hAnsi="Arial" w:cs="Arial"/>
                <w:color w:val="494B59"/>
                <w:sz w:val="18"/>
                <w:szCs w:val="18"/>
              </w:rPr>
            </w:pPr>
            <w:r>
              <w:rPr>
                <w:rFonts w:ascii="Arial" w:hAnsi="Arial" w:cs="Arial"/>
                <w:color w:val="494B59"/>
                <w:sz w:val="18"/>
                <w:szCs w:val="18"/>
              </w:rPr>
              <w:t>Credentialing</w:t>
            </w:r>
          </w:p>
        </w:tc>
        <w:tc>
          <w:tcPr>
            <w:tcW w:w="10183" w:type="dxa"/>
            <w:tcBorders>
              <w:top w:val="nil"/>
              <w:left w:val="nil"/>
              <w:bottom w:val="nil"/>
              <w:right w:val="nil"/>
            </w:tcBorders>
          </w:tcPr>
          <w:p w:rsidR="009C16D2" w:rsidRPr="00AE537A" w:rsidRDefault="009C16D2" w:rsidP="00F4485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Pr="00AE537A" w:rsidRDefault="009C16D2" w:rsidP="00F4485C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</w:p>
          <w:p w:rsidR="009C16D2" w:rsidRDefault="009C16D2" w:rsidP="009C16D2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 xml:space="preserve">(i.e. </w:t>
            </w:r>
            <w:r>
              <w:rPr>
                <w:rFonts w:ascii="Arial" w:hAnsi="Arial" w:cs="Arial"/>
                <w:color w:val="494B59"/>
                <w:sz w:val="18"/>
                <w:szCs w:val="18"/>
              </w:rPr>
              <w:t>The hospital is paid directly for access to the facility</w:t>
            </w:r>
            <w:r w:rsidRPr="00AE537A">
              <w:rPr>
                <w:rFonts w:ascii="Arial" w:hAnsi="Arial" w:cs="Arial"/>
                <w:color w:val="494B59"/>
                <w:sz w:val="18"/>
                <w:szCs w:val="18"/>
              </w:rPr>
              <w:t>)</w:t>
            </w:r>
          </w:p>
          <w:p w:rsidR="009C16D2" w:rsidRPr="009C16D2" w:rsidRDefault="009C16D2" w:rsidP="009C16D2">
            <w:pPr>
              <w:rPr>
                <w:rFonts w:ascii="Arial" w:hAnsi="Arial" w:cs="Arial"/>
                <w:color w:val="494B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94B59"/>
                <w:sz w:val="18"/>
                <w:szCs w:val="18"/>
              </w:rPr>
              <w:t>*Note:</w:t>
            </w:r>
            <w:r>
              <w:rPr>
                <w:rFonts w:ascii="Arial" w:hAnsi="Arial" w:cs="Arial"/>
                <w:color w:val="494B59"/>
                <w:sz w:val="18"/>
                <w:szCs w:val="18"/>
              </w:rPr>
              <w:t xml:space="preserve"> Use </w:t>
            </w:r>
            <w:r>
              <w:rPr>
                <w:rFonts w:ascii="Arial" w:hAnsi="Arial" w:cs="Arial"/>
                <w:b/>
                <w:color w:val="494B59"/>
                <w:sz w:val="18"/>
                <w:szCs w:val="18"/>
              </w:rPr>
              <w:t>Other – Vendor Credentialing</w:t>
            </w:r>
            <w:r>
              <w:rPr>
                <w:rFonts w:ascii="Arial" w:hAnsi="Arial" w:cs="Arial"/>
                <w:color w:val="494B59"/>
                <w:sz w:val="18"/>
                <w:szCs w:val="18"/>
              </w:rPr>
              <w:t xml:space="preserve"> when a third-party vendor is paid for access, such as </w:t>
            </w:r>
            <w:proofErr w:type="spellStart"/>
            <w:r>
              <w:rPr>
                <w:rFonts w:ascii="Arial" w:hAnsi="Arial" w:cs="Arial"/>
                <w:color w:val="494B59"/>
                <w:sz w:val="18"/>
                <w:szCs w:val="18"/>
              </w:rPr>
              <w:t>VendorMate</w:t>
            </w:r>
            <w:proofErr w:type="spellEnd"/>
          </w:p>
        </w:tc>
      </w:tr>
    </w:tbl>
    <w:p w:rsidR="007A2403" w:rsidRPr="00EC3AA6" w:rsidRDefault="007A2403" w:rsidP="00240ADD">
      <w:pPr>
        <w:spacing w:after="0"/>
        <w:rPr>
          <w:rFonts w:ascii="Arial" w:hAnsi="Arial" w:cs="Arial"/>
          <w:color w:val="494B59"/>
          <w:sz w:val="20"/>
          <w:szCs w:val="20"/>
        </w:rPr>
      </w:pPr>
    </w:p>
    <w:sectPr w:rsidR="007A2403" w:rsidRPr="00EC3AA6" w:rsidSect="00422C11">
      <w:headerReference w:type="default" r:id="rId7"/>
      <w:footerReference w:type="default" r:id="rId8"/>
      <w:pgSz w:w="15840" w:h="12240" w:orient="landscape" w:code="1"/>
      <w:pgMar w:top="245" w:right="720" w:bottom="288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5C" w:rsidRDefault="00EB435C" w:rsidP="00114B03">
      <w:pPr>
        <w:spacing w:after="0" w:line="240" w:lineRule="auto"/>
      </w:pPr>
      <w:r>
        <w:separator/>
      </w:r>
    </w:p>
  </w:endnote>
  <w:endnote w:type="continuationSeparator" w:id="0">
    <w:p w:rsidR="00EB435C" w:rsidRDefault="00EB435C" w:rsidP="0011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469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494B59"/>
        <w:sz w:val="16"/>
        <w:szCs w:val="16"/>
      </w:rPr>
    </w:sdtEndPr>
    <w:sdtContent>
      <w:p w:rsidR="009C16D2" w:rsidRPr="009C16D2" w:rsidRDefault="009C16D2">
        <w:pPr>
          <w:pStyle w:val="Footer"/>
          <w:jc w:val="center"/>
          <w:rPr>
            <w:rFonts w:ascii="Arial" w:hAnsi="Arial" w:cs="Arial"/>
            <w:color w:val="494B59"/>
            <w:sz w:val="16"/>
            <w:szCs w:val="16"/>
          </w:rPr>
        </w:pPr>
        <w:r w:rsidRPr="009C16D2">
          <w:rPr>
            <w:rFonts w:ascii="Arial" w:hAnsi="Arial" w:cs="Arial"/>
            <w:color w:val="494B59"/>
            <w:sz w:val="16"/>
            <w:szCs w:val="16"/>
          </w:rPr>
          <w:fldChar w:fldCharType="begin"/>
        </w:r>
        <w:r w:rsidRPr="009C16D2">
          <w:rPr>
            <w:rFonts w:ascii="Arial" w:hAnsi="Arial" w:cs="Arial"/>
            <w:color w:val="494B59"/>
            <w:sz w:val="16"/>
            <w:szCs w:val="16"/>
          </w:rPr>
          <w:instrText xml:space="preserve"> PAGE   \* MERGEFORMAT </w:instrText>
        </w:r>
        <w:r w:rsidRPr="009C16D2">
          <w:rPr>
            <w:rFonts w:ascii="Arial" w:hAnsi="Arial" w:cs="Arial"/>
            <w:color w:val="494B59"/>
            <w:sz w:val="16"/>
            <w:szCs w:val="16"/>
          </w:rPr>
          <w:fldChar w:fldCharType="separate"/>
        </w:r>
        <w:r w:rsidR="003A4BCE">
          <w:rPr>
            <w:rFonts w:ascii="Arial" w:hAnsi="Arial" w:cs="Arial"/>
            <w:noProof/>
            <w:color w:val="494B59"/>
            <w:sz w:val="16"/>
            <w:szCs w:val="16"/>
          </w:rPr>
          <w:t>1</w:t>
        </w:r>
        <w:r w:rsidRPr="009C16D2">
          <w:rPr>
            <w:rFonts w:ascii="Arial" w:hAnsi="Arial" w:cs="Arial"/>
            <w:noProof/>
            <w:color w:val="494B59"/>
            <w:sz w:val="16"/>
            <w:szCs w:val="16"/>
          </w:rPr>
          <w:fldChar w:fldCharType="end"/>
        </w:r>
      </w:p>
    </w:sdtContent>
  </w:sdt>
  <w:p w:rsidR="009C16D2" w:rsidRDefault="009C1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5C" w:rsidRDefault="00EB435C" w:rsidP="00114B03">
      <w:pPr>
        <w:spacing w:after="0" w:line="240" w:lineRule="auto"/>
      </w:pPr>
      <w:r>
        <w:separator/>
      </w:r>
    </w:p>
  </w:footnote>
  <w:footnote w:type="continuationSeparator" w:id="0">
    <w:p w:rsidR="00EB435C" w:rsidRDefault="00EB435C" w:rsidP="0011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3"/>
      <w:gridCol w:w="6923"/>
    </w:tblGrid>
    <w:tr w:rsidR="00114B03" w:rsidTr="00240ADD">
      <w:trPr>
        <w:trHeight w:val="627"/>
      </w:trPr>
      <w:tc>
        <w:tcPr>
          <w:tcW w:w="5040" w:type="dxa"/>
          <w:vAlign w:val="center"/>
        </w:tcPr>
        <w:p w:rsidR="00114B03" w:rsidRPr="00114B03" w:rsidRDefault="00114B03" w:rsidP="004E4000">
          <w:pPr>
            <w:pStyle w:val="Header"/>
            <w:rPr>
              <w:rFonts w:ascii="Century Gothic" w:hAnsi="Century Gothic"/>
              <w:b/>
              <w:color w:val="494B59"/>
              <w:sz w:val="28"/>
              <w:szCs w:val="28"/>
            </w:rPr>
          </w:pPr>
          <w:r w:rsidRPr="00114B03">
            <w:rPr>
              <w:rFonts w:ascii="Century Gothic" w:hAnsi="Century Gothic"/>
              <w:b/>
              <w:color w:val="494B59"/>
              <w:sz w:val="28"/>
              <w:szCs w:val="28"/>
            </w:rPr>
            <w:t>Concur Expense Type Codes/ Business Purpose Codes</w:t>
          </w:r>
        </w:p>
      </w:tc>
      <w:tc>
        <w:tcPr>
          <w:tcW w:w="4536" w:type="dxa"/>
          <w:vAlign w:val="center"/>
        </w:tcPr>
        <w:p w:rsidR="00114B03" w:rsidRDefault="00114B03" w:rsidP="004E400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5A4E4DA" wp14:editId="01EC6939">
                <wp:extent cx="2057400" cy="4114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oventus logo-hi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4B03" w:rsidRDefault="00114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4A"/>
    <w:rsid w:val="0003364A"/>
    <w:rsid w:val="000A31A6"/>
    <w:rsid w:val="000D7D4F"/>
    <w:rsid w:val="00114B03"/>
    <w:rsid w:val="00240ADD"/>
    <w:rsid w:val="002D02C3"/>
    <w:rsid w:val="002F323C"/>
    <w:rsid w:val="00385601"/>
    <w:rsid w:val="00391FDA"/>
    <w:rsid w:val="003A4BCE"/>
    <w:rsid w:val="003E581D"/>
    <w:rsid w:val="0040462B"/>
    <w:rsid w:val="00422C11"/>
    <w:rsid w:val="004E4000"/>
    <w:rsid w:val="00624E6B"/>
    <w:rsid w:val="00685E0A"/>
    <w:rsid w:val="00714CFE"/>
    <w:rsid w:val="00732CC8"/>
    <w:rsid w:val="007A2403"/>
    <w:rsid w:val="008C7C41"/>
    <w:rsid w:val="009A344A"/>
    <w:rsid w:val="009C16D2"/>
    <w:rsid w:val="00A01B71"/>
    <w:rsid w:val="00A77601"/>
    <w:rsid w:val="00AE537A"/>
    <w:rsid w:val="00AF5215"/>
    <w:rsid w:val="00BE6231"/>
    <w:rsid w:val="00C97119"/>
    <w:rsid w:val="00CC21C1"/>
    <w:rsid w:val="00D22D9F"/>
    <w:rsid w:val="00D52C24"/>
    <w:rsid w:val="00E06DB7"/>
    <w:rsid w:val="00E309B5"/>
    <w:rsid w:val="00EB435C"/>
    <w:rsid w:val="00EC3AA6"/>
    <w:rsid w:val="00ED56CB"/>
    <w:rsid w:val="00E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4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03"/>
  </w:style>
  <w:style w:type="paragraph" w:styleId="Footer">
    <w:name w:val="footer"/>
    <w:basedOn w:val="Normal"/>
    <w:link w:val="FooterChar"/>
    <w:uiPriority w:val="99"/>
    <w:unhideWhenUsed/>
    <w:rsid w:val="0011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03"/>
  </w:style>
  <w:style w:type="table" w:styleId="TableGrid">
    <w:name w:val="Table Grid"/>
    <w:basedOn w:val="TableNormal"/>
    <w:uiPriority w:val="59"/>
    <w:rsid w:val="0011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4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03"/>
  </w:style>
  <w:style w:type="paragraph" w:styleId="Footer">
    <w:name w:val="footer"/>
    <w:basedOn w:val="Normal"/>
    <w:link w:val="FooterChar"/>
    <w:uiPriority w:val="99"/>
    <w:unhideWhenUsed/>
    <w:rsid w:val="0011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03"/>
  </w:style>
  <w:style w:type="table" w:styleId="TableGrid">
    <w:name w:val="Table Grid"/>
    <w:basedOn w:val="TableNormal"/>
    <w:uiPriority w:val="59"/>
    <w:rsid w:val="0011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Denzin</dc:creator>
  <cp:lastModifiedBy>Denice Denzin</cp:lastModifiedBy>
  <cp:revision>2</cp:revision>
  <cp:lastPrinted>2013-07-30T19:08:00Z</cp:lastPrinted>
  <dcterms:created xsi:type="dcterms:W3CDTF">2013-08-09T14:33:00Z</dcterms:created>
  <dcterms:modified xsi:type="dcterms:W3CDTF">2013-08-09T14:33:00Z</dcterms:modified>
</cp:coreProperties>
</file>