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7131" w14:textId="77777777" w:rsidR="00DF7DFD" w:rsidRDefault="00DF7DFD">
      <w:pPr>
        <w:pStyle w:val="BodyText"/>
        <w:spacing w:line="240" w:lineRule="auto"/>
        <w:rPr>
          <w:rFonts w:ascii="Smith&amp;NephewLF" w:hAnsi="Smith&amp;NephewLF"/>
          <w:sz w:val="20"/>
        </w:rPr>
      </w:pPr>
    </w:p>
    <w:p w14:paraId="17CB4FA7" w14:textId="77777777" w:rsidR="00DF7DFD" w:rsidRDefault="00DF7DFD">
      <w:pPr>
        <w:pStyle w:val="BodyText"/>
        <w:spacing w:line="240" w:lineRule="auto"/>
        <w:rPr>
          <w:rFonts w:ascii="Smith&amp;NephewLF" w:hAnsi="Smith&amp;NephewLF"/>
          <w:sz w:val="20"/>
        </w:rPr>
      </w:pPr>
    </w:p>
    <w:p w14:paraId="6DBB6DE4" w14:textId="77777777" w:rsidR="00DF7DFD" w:rsidRDefault="00DF7DFD">
      <w:pPr>
        <w:pStyle w:val="BodyText"/>
        <w:spacing w:line="240" w:lineRule="auto"/>
        <w:rPr>
          <w:rFonts w:ascii="Smith&amp;NephewLF" w:hAnsi="Smith&amp;NephewLF"/>
          <w:sz w:val="20"/>
        </w:rPr>
      </w:pPr>
    </w:p>
    <w:p w14:paraId="4A73B4D2" w14:textId="77777777" w:rsidR="00DF7DFD" w:rsidRDefault="00DF7DFD">
      <w:pPr>
        <w:pStyle w:val="BodyText"/>
        <w:spacing w:line="240" w:lineRule="auto"/>
        <w:rPr>
          <w:rFonts w:ascii="Smith&amp;NephewLF" w:hAnsi="Smith&amp;NephewLF"/>
          <w:sz w:val="20"/>
        </w:rPr>
      </w:pPr>
    </w:p>
    <w:p w14:paraId="53ECB2D5" w14:textId="77777777" w:rsidR="00DF7DFD" w:rsidRDefault="00DF7DFD">
      <w:pPr>
        <w:pStyle w:val="BodyText"/>
        <w:spacing w:line="240" w:lineRule="auto"/>
        <w:rPr>
          <w:rFonts w:ascii="Smith&amp;NephewLF" w:hAnsi="Smith&amp;NephewLF"/>
          <w:sz w:val="20"/>
        </w:rPr>
      </w:pPr>
    </w:p>
    <w:p w14:paraId="3A95675A" w14:textId="77777777" w:rsidR="00DF7DFD" w:rsidRDefault="00DF7DFD">
      <w:pPr>
        <w:pStyle w:val="BodyText"/>
        <w:spacing w:line="240" w:lineRule="auto"/>
        <w:rPr>
          <w:rFonts w:ascii="Smith&amp;NephewLF" w:hAnsi="Smith&amp;NephewLF"/>
          <w:sz w:val="20"/>
        </w:rPr>
      </w:pPr>
    </w:p>
    <w:p w14:paraId="10AAB699" w14:textId="77777777" w:rsidR="00DF7DFD" w:rsidRDefault="00DF7DFD">
      <w:pPr>
        <w:pStyle w:val="BodyText"/>
        <w:spacing w:line="240" w:lineRule="auto"/>
        <w:rPr>
          <w:rFonts w:ascii="Smith&amp;NephewLF" w:hAnsi="Smith&amp;NephewLF"/>
          <w:sz w:val="20"/>
        </w:rPr>
      </w:pPr>
    </w:p>
    <w:p w14:paraId="002BC954" w14:textId="77777777" w:rsidR="00DF7DFD" w:rsidRDefault="00DF7DFD">
      <w:pPr>
        <w:pStyle w:val="BodyText"/>
        <w:spacing w:line="240" w:lineRule="auto"/>
        <w:rPr>
          <w:rFonts w:ascii="Smith&amp;NephewLF" w:hAnsi="Smith&amp;NephewLF"/>
          <w:sz w:val="20"/>
        </w:rPr>
      </w:pPr>
    </w:p>
    <w:p w14:paraId="2AD74268" w14:textId="77777777" w:rsidR="00DF7DFD" w:rsidRDefault="00DF7DFD">
      <w:pPr>
        <w:pStyle w:val="BodyText"/>
        <w:spacing w:line="240" w:lineRule="auto"/>
        <w:rPr>
          <w:rFonts w:ascii="Smith&amp;NephewLF" w:hAnsi="Smith&amp;NephewLF"/>
          <w:sz w:val="20"/>
        </w:rPr>
      </w:pPr>
    </w:p>
    <w:p w14:paraId="1F1B4DAD" w14:textId="77777777" w:rsidR="00DF7DFD" w:rsidRDefault="00DF7DFD">
      <w:pPr>
        <w:pStyle w:val="BodyText"/>
        <w:spacing w:line="240" w:lineRule="auto"/>
        <w:rPr>
          <w:rFonts w:ascii="Smith&amp;NephewLF" w:hAnsi="Smith&amp;NephewLF"/>
          <w:sz w:val="20"/>
        </w:rPr>
      </w:pPr>
    </w:p>
    <w:p w14:paraId="757FA90E" w14:textId="77777777" w:rsidR="00DF7DFD" w:rsidRDefault="00DF7DFD">
      <w:pPr>
        <w:pStyle w:val="BodyText"/>
        <w:spacing w:line="240" w:lineRule="auto"/>
        <w:rPr>
          <w:rFonts w:ascii="Smith&amp;NephewLF" w:hAnsi="Smith&amp;NephewLF"/>
          <w:sz w:val="20"/>
        </w:rPr>
      </w:pPr>
    </w:p>
    <w:p w14:paraId="3D857BAB" w14:textId="77777777" w:rsidR="00DF7DFD" w:rsidRDefault="00DF7DFD">
      <w:pPr>
        <w:pStyle w:val="BodyText"/>
        <w:spacing w:line="240" w:lineRule="auto"/>
        <w:rPr>
          <w:sz w:val="20"/>
        </w:rPr>
      </w:pPr>
    </w:p>
    <w:p w14:paraId="44E61315" w14:textId="77777777" w:rsidR="00DF7DFD" w:rsidRDefault="00DF7DFD">
      <w:pPr>
        <w:pStyle w:val="BodyText"/>
        <w:spacing w:line="240" w:lineRule="auto"/>
        <w:rPr>
          <w:sz w:val="20"/>
        </w:rPr>
      </w:pPr>
    </w:p>
    <w:p w14:paraId="4976DCCD" w14:textId="77777777" w:rsidR="00DF7DFD" w:rsidRDefault="00DF7DFD">
      <w:pPr>
        <w:pStyle w:val="BodyText"/>
        <w:spacing w:line="240" w:lineRule="auto"/>
        <w:rPr>
          <w:sz w:val="20"/>
        </w:rPr>
      </w:pPr>
    </w:p>
    <w:p w14:paraId="70018BF2" w14:textId="77777777" w:rsidR="00DF7DFD" w:rsidRDefault="00DF7DFD">
      <w:pPr>
        <w:pStyle w:val="BodyText"/>
        <w:spacing w:line="240" w:lineRule="auto"/>
        <w:rPr>
          <w:sz w:val="20"/>
        </w:rPr>
      </w:pPr>
    </w:p>
    <w:p w14:paraId="0662BD33" w14:textId="77777777" w:rsidR="00DF7DFD" w:rsidRDefault="00DF7DFD">
      <w:pPr>
        <w:pStyle w:val="BodyText"/>
        <w:spacing w:line="240" w:lineRule="auto"/>
        <w:rPr>
          <w:sz w:val="20"/>
        </w:rPr>
      </w:pPr>
    </w:p>
    <w:p w14:paraId="150111CA" w14:textId="77777777" w:rsidR="00DF7DFD" w:rsidRDefault="00DF7DFD">
      <w:pPr>
        <w:pStyle w:val="BodyText"/>
        <w:spacing w:line="240" w:lineRule="auto"/>
        <w:rPr>
          <w:sz w:val="20"/>
        </w:rPr>
      </w:pPr>
    </w:p>
    <w:p w14:paraId="65143810" w14:textId="77777777" w:rsidR="00DF7DFD" w:rsidRDefault="00F62BB8">
      <w:pPr>
        <w:pStyle w:val="BodyText"/>
        <w:spacing w:line="240" w:lineRule="auto"/>
        <w:rPr>
          <w:sz w:val="20"/>
        </w:rPr>
      </w:pPr>
      <w:r>
        <w:rPr>
          <w:noProof/>
        </w:rPr>
        <w:drawing>
          <wp:inline distT="0" distB="0" distL="0" distR="0" wp14:anchorId="427AB3BE" wp14:editId="784E5A4F">
            <wp:extent cx="4600575" cy="1409700"/>
            <wp:effectExtent l="0" t="0" r="9525" b="0"/>
            <wp:docPr id="1" name="Picture 10" descr="Description: Untitled-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Untitled-4-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1409700"/>
                    </a:xfrm>
                    <a:prstGeom prst="rect">
                      <a:avLst/>
                    </a:prstGeom>
                    <a:noFill/>
                    <a:ln>
                      <a:noFill/>
                    </a:ln>
                  </pic:spPr>
                </pic:pic>
              </a:graphicData>
            </a:graphic>
          </wp:inline>
        </w:drawing>
      </w:r>
    </w:p>
    <w:p w14:paraId="53B7BB2B" w14:textId="77777777" w:rsidR="00DF7DFD" w:rsidRDefault="00F62BB8">
      <w:pPr>
        <w:pStyle w:val="BodyText"/>
        <w:spacing w:line="240" w:lineRule="auto"/>
        <w:rPr>
          <w:sz w:val="20"/>
        </w:rPr>
      </w:pPr>
      <w:r>
        <w:rPr>
          <w:sz w:val="20"/>
        </w:rPr>
        <w:t xml:space="preserve"> </w:t>
      </w:r>
    </w:p>
    <w:p w14:paraId="4A94360A" w14:textId="77777777" w:rsidR="00DF7DFD" w:rsidRDefault="00DF7DFD">
      <w:pPr>
        <w:pStyle w:val="BodyText"/>
        <w:spacing w:line="240" w:lineRule="auto"/>
        <w:rPr>
          <w:sz w:val="20"/>
        </w:rPr>
      </w:pPr>
    </w:p>
    <w:p w14:paraId="32E9FA2C" w14:textId="77777777" w:rsidR="00DF7DFD" w:rsidRDefault="00DF7DFD">
      <w:pPr>
        <w:pStyle w:val="BodyText"/>
        <w:spacing w:line="240" w:lineRule="auto"/>
        <w:rPr>
          <w:sz w:val="20"/>
        </w:rPr>
      </w:pPr>
    </w:p>
    <w:p w14:paraId="552F29F9" w14:textId="77777777" w:rsidR="00DF7DFD" w:rsidRDefault="00DF7DFD">
      <w:pPr>
        <w:pStyle w:val="BodyText"/>
        <w:spacing w:line="240" w:lineRule="auto"/>
        <w:rPr>
          <w:sz w:val="20"/>
        </w:rPr>
      </w:pPr>
    </w:p>
    <w:p w14:paraId="0D6A13F2" w14:textId="77777777" w:rsidR="00DF7DFD" w:rsidRDefault="00DF7DFD">
      <w:pPr>
        <w:pStyle w:val="BodyText"/>
        <w:spacing w:line="240" w:lineRule="auto"/>
        <w:rPr>
          <w:sz w:val="20"/>
        </w:rPr>
      </w:pPr>
    </w:p>
    <w:p w14:paraId="395CC711" w14:textId="77777777" w:rsidR="00D44A6E" w:rsidRDefault="000F54CE" w:rsidP="000F54CE">
      <w:pPr>
        <w:rPr>
          <w:rFonts w:ascii="Century Gothic" w:hAnsi="Century Gothic"/>
          <w:b/>
          <w:sz w:val="56"/>
          <w:szCs w:val="56"/>
        </w:rPr>
      </w:pPr>
      <w:r>
        <w:rPr>
          <w:rFonts w:ascii="Century Gothic" w:hAnsi="Century Gothic"/>
          <w:b/>
          <w:sz w:val="56"/>
          <w:szCs w:val="56"/>
        </w:rPr>
        <w:t>Non-GAAP Measures</w:t>
      </w:r>
      <w:r w:rsidR="00F62BB8" w:rsidRPr="00964C03">
        <w:rPr>
          <w:rFonts w:ascii="Century Gothic" w:hAnsi="Century Gothic"/>
          <w:b/>
          <w:sz w:val="56"/>
          <w:szCs w:val="56"/>
        </w:rPr>
        <w:t xml:space="preserve"> Polic</w:t>
      </w:r>
      <w:r>
        <w:rPr>
          <w:rFonts w:ascii="Century Gothic" w:hAnsi="Century Gothic"/>
          <w:b/>
          <w:sz w:val="56"/>
          <w:szCs w:val="56"/>
        </w:rPr>
        <w:t>y</w:t>
      </w:r>
      <w:bookmarkStart w:id="0" w:name="_Purpose"/>
      <w:bookmarkStart w:id="1" w:name="_General"/>
      <w:bookmarkStart w:id="2" w:name="_Consolidation"/>
      <w:bookmarkStart w:id="3" w:name="_Financial_Statement_Presentation"/>
      <w:bookmarkStart w:id="4" w:name="NonGAAP"/>
      <w:bookmarkEnd w:id="0"/>
      <w:bookmarkEnd w:id="1"/>
      <w:bookmarkEnd w:id="2"/>
      <w:bookmarkEnd w:id="3"/>
    </w:p>
    <w:p w14:paraId="3A395BE0" w14:textId="77777777" w:rsidR="00D44A6E" w:rsidRDefault="00D44A6E">
      <w:pPr>
        <w:rPr>
          <w:rFonts w:ascii="Century Gothic" w:hAnsi="Century Gothic"/>
          <w:b/>
          <w:sz w:val="56"/>
          <w:szCs w:val="56"/>
        </w:rPr>
      </w:pPr>
      <w:r>
        <w:rPr>
          <w:rFonts w:ascii="Century Gothic" w:hAnsi="Century Gothic"/>
          <w:b/>
          <w:sz w:val="56"/>
          <w:szCs w:val="56"/>
        </w:rPr>
        <w:br w:type="page"/>
      </w:r>
    </w:p>
    <w:p w14:paraId="6661C9A2" w14:textId="374DAED8" w:rsidR="001F7F00" w:rsidRDefault="001F7F00" w:rsidP="00FF1B22">
      <w:pPr>
        <w:rPr>
          <w:rFonts w:ascii="Arial" w:hAnsi="Arial" w:cs="Arial"/>
          <w:b/>
          <w:sz w:val="20"/>
        </w:rPr>
      </w:pPr>
      <w:r>
        <w:rPr>
          <w:rFonts w:ascii="Arial" w:hAnsi="Arial" w:cs="Arial"/>
          <w:b/>
          <w:sz w:val="20"/>
        </w:rPr>
        <w:lastRenderedPageBreak/>
        <w:t>3.5 Non-GAAP Measures</w:t>
      </w:r>
    </w:p>
    <w:bookmarkEnd w:id="4"/>
    <w:p w14:paraId="50812F22" w14:textId="77777777" w:rsidR="001F7F00" w:rsidRPr="002213C4" w:rsidRDefault="001F7F00" w:rsidP="00B5048D">
      <w:pPr>
        <w:autoSpaceDE w:val="0"/>
        <w:autoSpaceDN w:val="0"/>
        <w:adjustRightInd w:val="0"/>
        <w:ind w:left="360"/>
        <w:rPr>
          <w:rFonts w:ascii="Arial" w:hAnsi="Arial" w:cs="Arial"/>
          <w:sz w:val="20"/>
        </w:rPr>
      </w:pPr>
      <w:r>
        <w:rPr>
          <w:rFonts w:ascii="Arial" w:hAnsi="Arial" w:cs="Arial"/>
          <w:sz w:val="20"/>
        </w:rPr>
        <w:t xml:space="preserve">The SEC defines non-GAAP measures as a numerical measure of a registrant’s historical or future financial performance, financial position or cash flows that excludes/includes amounts (or is subject to adjustments that have the effect of excluding/including amounts) that are included/excluded from the most directly comparable GAAP measure.  </w:t>
      </w:r>
    </w:p>
    <w:p w14:paraId="06F9F8AE" w14:textId="77777777" w:rsidR="001F7F00" w:rsidRDefault="001F7F00" w:rsidP="00B5048D">
      <w:pPr>
        <w:pStyle w:val="ListParagraph"/>
        <w:spacing w:line="0" w:lineRule="atLeast"/>
        <w:ind w:left="360"/>
        <w:contextualSpacing/>
        <w:jc w:val="both"/>
        <w:rPr>
          <w:rFonts w:ascii="Arial" w:hAnsi="Arial" w:cs="Arial"/>
          <w:sz w:val="20"/>
        </w:rPr>
      </w:pPr>
    </w:p>
    <w:p w14:paraId="3EC5F012" w14:textId="1E657CC7" w:rsidR="001F7F00" w:rsidRDefault="001F7F00" w:rsidP="003D3AF0">
      <w:pPr>
        <w:pStyle w:val="ListParagraph"/>
        <w:spacing w:line="0" w:lineRule="atLeast"/>
        <w:ind w:left="360"/>
        <w:contextualSpacing/>
        <w:jc w:val="both"/>
        <w:rPr>
          <w:rFonts w:ascii="Arial" w:hAnsi="Arial" w:cs="Arial"/>
          <w:sz w:val="20"/>
        </w:rPr>
      </w:pPr>
      <w:r w:rsidRPr="002213C4">
        <w:rPr>
          <w:rFonts w:ascii="Arial" w:hAnsi="Arial" w:cs="Arial"/>
          <w:sz w:val="20"/>
        </w:rPr>
        <w:t xml:space="preserve">SEC rules </w:t>
      </w:r>
      <w:r w:rsidR="0040287A">
        <w:rPr>
          <w:rFonts w:ascii="Arial" w:hAnsi="Arial" w:cs="Arial"/>
          <w:sz w:val="20"/>
        </w:rPr>
        <w:t xml:space="preserve">for the presentation of non-GAAP financial information require additional disclosures </w:t>
      </w:r>
      <w:r w:rsidR="002E7AF1">
        <w:rPr>
          <w:rFonts w:ascii="Arial" w:hAnsi="Arial" w:cs="Arial"/>
          <w:sz w:val="20"/>
        </w:rPr>
        <w:t xml:space="preserve">including reconciliations </w:t>
      </w:r>
      <w:r w:rsidR="0040287A">
        <w:rPr>
          <w:rFonts w:ascii="Arial" w:hAnsi="Arial" w:cs="Arial"/>
          <w:sz w:val="20"/>
        </w:rPr>
        <w:t xml:space="preserve">and may limit or </w:t>
      </w:r>
      <w:r w:rsidRPr="002213C4">
        <w:rPr>
          <w:rFonts w:ascii="Arial" w:hAnsi="Arial" w:cs="Arial"/>
          <w:sz w:val="20"/>
        </w:rPr>
        <w:t xml:space="preserve">prohibit the presentation of </w:t>
      </w:r>
      <w:r w:rsidR="0040287A">
        <w:rPr>
          <w:rFonts w:ascii="Arial" w:hAnsi="Arial" w:cs="Arial"/>
          <w:sz w:val="20"/>
        </w:rPr>
        <w:t xml:space="preserve">certain </w:t>
      </w:r>
      <w:r>
        <w:rPr>
          <w:rFonts w:ascii="Arial" w:hAnsi="Arial" w:cs="Arial"/>
          <w:sz w:val="20"/>
        </w:rPr>
        <w:t xml:space="preserve">non-GAAP </w:t>
      </w:r>
      <w:r w:rsidR="0040287A">
        <w:rPr>
          <w:rFonts w:ascii="Arial" w:hAnsi="Arial" w:cs="Arial"/>
          <w:sz w:val="20"/>
        </w:rPr>
        <w:t xml:space="preserve">financial </w:t>
      </w:r>
      <w:r w:rsidRPr="002213C4">
        <w:rPr>
          <w:rFonts w:ascii="Arial" w:hAnsi="Arial" w:cs="Arial"/>
          <w:sz w:val="20"/>
        </w:rPr>
        <w:t>measures</w:t>
      </w:r>
      <w:r w:rsidR="002E7AF1">
        <w:rPr>
          <w:rFonts w:ascii="Arial" w:hAnsi="Arial" w:cs="Arial"/>
          <w:sz w:val="20"/>
        </w:rPr>
        <w:t xml:space="preserve"> such as liquidity per share</w:t>
      </w:r>
      <w:r>
        <w:rPr>
          <w:rFonts w:ascii="Arial" w:hAnsi="Arial" w:cs="Arial"/>
          <w:sz w:val="20"/>
        </w:rPr>
        <w:t xml:space="preserve">.  </w:t>
      </w:r>
    </w:p>
    <w:p w14:paraId="36709E48" w14:textId="07340D6E" w:rsidR="00EF6154" w:rsidRDefault="00EF6154" w:rsidP="003D3AF0">
      <w:pPr>
        <w:pStyle w:val="ListParagraph"/>
        <w:spacing w:line="0" w:lineRule="atLeast"/>
        <w:ind w:left="360"/>
        <w:contextualSpacing/>
        <w:jc w:val="both"/>
        <w:rPr>
          <w:rFonts w:ascii="Arial" w:hAnsi="Arial" w:cs="Arial"/>
          <w:sz w:val="20"/>
        </w:rPr>
      </w:pPr>
    </w:p>
    <w:p w14:paraId="68977B6F" w14:textId="77777777" w:rsidR="00241A2B" w:rsidRPr="002623C5" w:rsidRDefault="00241A2B" w:rsidP="00241A2B">
      <w:pPr>
        <w:pStyle w:val="ListParagraph"/>
        <w:spacing w:line="0" w:lineRule="atLeast"/>
        <w:ind w:left="360"/>
        <w:contextualSpacing/>
        <w:jc w:val="both"/>
        <w:rPr>
          <w:rFonts w:ascii="Arial" w:hAnsi="Arial" w:cs="Arial"/>
          <w:b/>
          <w:bCs/>
          <w:sz w:val="20"/>
          <w:u w:val="single"/>
        </w:rPr>
      </w:pPr>
      <w:r w:rsidRPr="002623C5">
        <w:rPr>
          <w:rFonts w:ascii="Arial" w:hAnsi="Arial" w:cs="Arial"/>
          <w:b/>
          <w:bCs/>
          <w:sz w:val="20"/>
          <w:u w:val="single"/>
        </w:rPr>
        <w:t xml:space="preserve">Approval of </w:t>
      </w:r>
      <w:r>
        <w:rPr>
          <w:rFonts w:ascii="Arial" w:hAnsi="Arial" w:cs="Arial"/>
          <w:b/>
          <w:bCs/>
          <w:sz w:val="20"/>
          <w:u w:val="single"/>
        </w:rPr>
        <w:t xml:space="preserve">Changes to </w:t>
      </w:r>
      <w:r w:rsidRPr="002623C5">
        <w:rPr>
          <w:rFonts w:ascii="Arial" w:hAnsi="Arial" w:cs="Arial"/>
          <w:b/>
          <w:bCs/>
          <w:sz w:val="20"/>
          <w:u w:val="single"/>
        </w:rPr>
        <w:t>Non-GAAP Measures</w:t>
      </w:r>
    </w:p>
    <w:p w14:paraId="16673A14" w14:textId="4035C3A8" w:rsidR="00241A2B" w:rsidRDefault="00241A2B" w:rsidP="00241A2B">
      <w:pPr>
        <w:pStyle w:val="ListParagraph"/>
        <w:spacing w:line="0" w:lineRule="atLeast"/>
        <w:ind w:left="360"/>
        <w:contextualSpacing/>
        <w:jc w:val="both"/>
        <w:rPr>
          <w:rFonts w:ascii="Arial" w:hAnsi="Arial" w:cs="Arial"/>
          <w:b/>
          <w:bCs/>
          <w:sz w:val="20"/>
        </w:rPr>
      </w:pPr>
      <w:r w:rsidRPr="002623C5">
        <w:rPr>
          <w:rFonts w:ascii="Arial" w:hAnsi="Arial" w:cs="Arial"/>
          <w:b/>
          <w:bCs/>
          <w:sz w:val="20"/>
        </w:rPr>
        <w:t xml:space="preserve">Prior to use, the </w:t>
      </w:r>
      <w:r w:rsidR="004F794B" w:rsidRPr="00FF1B22">
        <w:rPr>
          <w:rFonts w:ascii="Arial" w:hAnsi="Arial" w:cs="Arial"/>
          <w:b/>
          <w:bCs/>
          <w:sz w:val="20"/>
        </w:rPr>
        <w:t>CAO</w:t>
      </w:r>
      <w:r w:rsidRPr="002623C5">
        <w:rPr>
          <w:rFonts w:ascii="Arial" w:hAnsi="Arial" w:cs="Arial"/>
          <w:b/>
          <w:bCs/>
          <w:sz w:val="20"/>
        </w:rPr>
        <w:t xml:space="preserve"> and the CFO will review and approve any new non-GAAP measures, or changes to existing non-GAAP measures.  Changes and additions </w:t>
      </w:r>
      <w:r>
        <w:rPr>
          <w:rFonts w:ascii="Arial" w:hAnsi="Arial" w:cs="Arial"/>
          <w:b/>
          <w:bCs/>
          <w:sz w:val="20"/>
        </w:rPr>
        <w:t>to</w:t>
      </w:r>
      <w:r w:rsidRPr="002623C5">
        <w:rPr>
          <w:rFonts w:ascii="Arial" w:hAnsi="Arial" w:cs="Arial"/>
          <w:b/>
          <w:bCs/>
          <w:sz w:val="20"/>
        </w:rPr>
        <w:t xml:space="preserve"> non-GAAP measures will then be presented to the disclosure committee for approval.</w:t>
      </w:r>
      <w:r w:rsidR="00D12426">
        <w:rPr>
          <w:rFonts w:ascii="Arial" w:hAnsi="Arial" w:cs="Arial"/>
          <w:b/>
          <w:bCs/>
          <w:sz w:val="20"/>
        </w:rPr>
        <w:t xml:space="preserve"> The Audit Committee will then provide final approval </w:t>
      </w:r>
      <w:r w:rsidR="0052724D">
        <w:rPr>
          <w:rFonts w:ascii="Arial" w:hAnsi="Arial" w:cs="Arial"/>
          <w:b/>
          <w:bCs/>
          <w:sz w:val="20"/>
        </w:rPr>
        <w:t>for</w:t>
      </w:r>
      <w:r w:rsidR="00D12426">
        <w:rPr>
          <w:rFonts w:ascii="Arial" w:hAnsi="Arial" w:cs="Arial"/>
          <w:b/>
          <w:bCs/>
          <w:sz w:val="20"/>
        </w:rPr>
        <w:t xml:space="preserve"> any changes to the non-GAAP measures policy.</w:t>
      </w:r>
    </w:p>
    <w:p w14:paraId="112BD095" w14:textId="77777777" w:rsidR="00241A2B" w:rsidRDefault="00241A2B" w:rsidP="00241A2B">
      <w:pPr>
        <w:pStyle w:val="ListParagraph"/>
        <w:spacing w:line="0" w:lineRule="atLeast"/>
        <w:ind w:left="360"/>
        <w:contextualSpacing/>
        <w:jc w:val="both"/>
        <w:rPr>
          <w:rFonts w:ascii="Arial" w:hAnsi="Arial" w:cs="Arial"/>
          <w:b/>
          <w:bCs/>
          <w:sz w:val="20"/>
        </w:rPr>
      </w:pPr>
    </w:p>
    <w:p w14:paraId="58EDAA43" w14:textId="77777777" w:rsidR="00241A2B" w:rsidRDefault="00241A2B" w:rsidP="00241A2B">
      <w:pPr>
        <w:autoSpaceDE w:val="0"/>
        <w:autoSpaceDN w:val="0"/>
        <w:adjustRightInd w:val="0"/>
        <w:ind w:left="360"/>
        <w:rPr>
          <w:rFonts w:ascii="Arial" w:hAnsi="Arial" w:cs="Arial"/>
          <w:sz w:val="20"/>
          <w:szCs w:val="24"/>
        </w:rPr>
      </w:pPr>
      <w:r>
        <w:rPr>
          <w:rFonts w:ascii="Arial" w:hAnsi="Arial" w:cs="Arial"/>
          <w:sz w:val="20"/>
          <w:szCs w:val="24"/>
        </w:rPr>
        <w:t>Upon adding or removing a new adjustment, changing the nature of the adjustments, or changing the presentation of the non-GAAP measure, p</w:t>
      </w:r>
      <w:r w:rsidRPr="00FB3D1A">
        <w:rPr>
          <w:rFonts w:ascii="Arial" w:hAnsi="Arial" w:cs="Arial"/>
          <w:sz w:val="20"/>
          <w:szCs w:val="24"/>
        </w:rPr>
        <w:t>rior period measures need to be conformed to the current presentation</w:t>
      </w:r>
      <w:r>
        <w:rPr>
          <w:rFonts w:ascii="Arial" w:hAnsi="Arial" w:cs="Arial"/>
          <w:sz w:val="20"/>
          <w:szCs w:val="24"/>
        </w:rPr>
        <w:t xml:space="preserve"> if the impact in prior years is greater than our established materiality threshold, or if it has a significant impact to the comparability of the measure (e.g. a change from income to loss or vice versa, or other qualitative reasons).</w:t>
      </w:r>
    </w:p>
    <w:p w14:paraId="30A9A6C8" w14:textId="77777777" w:rsidR="00241A2B" w:rsidRDefault="00241A2B" w:rsidP="00241A2B">
      <w:pPr>
        <w:autoSpaceDE w:val="0"/>
        <w:autoSpaceDN w:val="0"/>
        <w:adjustRightInd w:val="0"/>
        <w:ind w:left="360"/>
        <w:rPr>
          <w:rFonts w:ascii="Arial" w:hAnsi="Arial" w:cs="Arial"/>
          <w:b/>
          <w:bCs/>
          <w:sz w:val="20"/>
          <w:szCs w:val="24"/>
          <w:u w:val="single"/>
        </w:rPr>
      </w:pPr>
    </w:p>
    <w:p w14:paraId="77700358" w14:textId="77777777" w:rsidR="00241A2B" w:rsidRDefault="00241A2B" w:rsidP="00241A2B">
      <w:pPr>
        <w:autoSpaceDE w:val="0"/>
        <w:autoSpaceDN w:val="0"/>
        <w:adjustRightInd w:val="0"/>
        <w:ind w:left="360"/>
        <w:rPr>
          <w:rFonts w:ascii="Arial" w:hAnsi="Arial" w:cs="Arial"/>
          <w:sz w:val="20"/>
          <w:szCs w:val="24"/>
        </w:rPr>
      </w:pPr>
      <w:r>
        <w:rPr>
          <w:rFonts w:ascii="Arial" w:hAnsi="Arial" w:cs="Arial"/>
          <w:b/>
          <w:bCs/>
          <w:sz w:val="20"/>
          <w:szCs w:val="24"/>
          <w:u w:val="single"/>
        </w:rPr>
        <w:t>Annual Review of Non-GAAP Measures Policy</w:t>
      </w:r>
    </w:p>
    <w:p w14:paraId="1F3D4C1E" w14:textId="74F89665" w:rsidR="00241A2B" w:rsidRPr="00460A6A" w:rsidRDefault="00241A2B" w:rsidP="00241A2B">
      <w:pPr>
        <w:autoSpaceDE w:val="0"/>
        <w:autoSpaceDN w:val="0"/>
        <w:adjustRightInd w:val="0"/>
        <w:ind w:left="360"/>
        <w:rPr>
          <w:rFonts w:ascii="Arial" w:hAnsi="Arial" w:cs="Arial"/>
          <w:sz w:val="20"/>
          <w:szCs w:val="24"/>
        </w:rPr>
      </w:pPr>
      <w:r>
        <w:rPr>
          <w:rFonts w:ascii="Arial" w:hAnsi="Arial" w:cs="Arial"/>
          <w:sz w:val="20"/>
          <w:szCs w:val="24"/>
        </w:rPr>
        <w:t>The Company will review its non-GAAP measures policy on an annual basis.  Changes to the policy (or a lack thereof) will be reviewed and approved based on the above guidelines for “approval of changes to non-GAAP measures”</w:t>
      </w:r>
      <w:r w:rsidR="00CA1AC4">
        <w:rPr>
          <w:rFonts w:ascii="Arial" w:hAnsi="Arial" w:cs="Arial"/>
          <w:sz w:val="20"/>
          <w:szCs w:val="24"/>
        </w:rPr>
        <w:t>, which includes final approval by the Audit Committee.</w:t>
      </w:r>
    </w:p>
    <w:p w14:paraId="0D9DEC33" w14:textId="77777777" w:rsidR="00241A2B" w:rsidRDefault="00241A2B" w:rsidP="00241A2B">
      <w:pPr>
        <w:autoSpaceDE w:val="0"/>
        <w:autoSpaceDN w:val="0"/>
        <w:adjustRightInd w:val="0"/>
        <w:rPr>
          <w:rFonts w:ascii="Arial" w:hAnsi="Arial" w:cs="Arial"/>
          <w:sz w:val="20"/>
        </w:rPr>
      </w:pPr>
    </w:p>
    <w:p w14:paraId="7E7B1712" w14:textId="77777777" w:rsidR="00241A2B" w:rsidRPr="002623C5" w:rsidRDefault="00241A2B" w:rsidP="00241A2B">
      <w:pPr>
        <w:autoSpaceDE w:val="0"/>
        <w:autoSpaceDN w:val="0"/>
        <w:adjustRightInd w:val="0"/>
        <w:ind w:left="360"/>
        <w:rPr>
          <w:rFonts w:ascii="Arial" w:hAnsi="Arial" w:cs="Arial"/>
          <w:b/>
          <w:bCs/>
          <w:sz w:val="20"/>
          <w:u w:val="single"/>
        </w:rPr>
      </w:pPr>
      <w:r w:rsidRPr="002623C5">
        <w:rPr>
          <w:rFonts w:ascii="Arial" w:hAnsi="Arial" w:cs="Arial"/>
          <w:b/>
          <w:bCs/>
          <w:sz w:val="20"/>
          <w:u w:val="single"/>
        </w:rPr>
        <w:t>Non-GAAP Measures Policy</w:t>
      </w:r>
    </w:p>
    <w:p w14:paraId="39B84BB2" w14:textId="507ABC2D" w:rsidR="001F7F00" w:rsidRDefault="00C15972" w:rsidP="00DC178B">
      <w:pPr>
        <w:autoSpaceDE w:val="0"/>
        <w:autoSpaceDN w:val="0"/>
        <w:adjustRightInd w:val="0"/>
        <w:ind w:left="360"/>
        <w:rPr>
          <w:rFonts w:ascii="Arial" w:hAnsi="Arial" w:cs="Arial"/>
          <w:sz w:val="20"/>
        </w:rPr>
      </w:pPr>
      <w:r>
        <w:rPr>
          <w:rFonts w:ascii="Arial" w:hAnsi="Arial" w:cs="Arial"/>
          <w:sz w:val="20"/>
        </w:rPr>
        <w:t>I</w:t>
      </w:r>
      <w:r w:rsidR="001F7F00">
        <w:rPr>
          <w:rFonts w:ascii="Arial" w:hAnsi="Arial" w:cs="Arial"/>
          <w:sz w:val="20"/>
        </w:rPr>
        <w:t xml:space="preserve">n accordance with SEC rules, regulations, and guidelines the Company will adhere to the following </w:t>
      </w:r>
      <w:r w:rsidR="001F7F00" w:rsidRPr="00DD5350">
        <w:rPr>
          <w:rFonts w:ascii="Arial" w:hAnsi="Arial" w:cs="Arial"/>
          <w:sz w:val="20"/>
        </w:rPr>
        <w:t>polic</w:t>
      </w:r>
      <w:r w:rsidR="001F7F00">
        <w:rPr>
          <w:rFonts w:ascii="Arial" w:hAnsi="Arial" w:cs="Arial"/>
          <w:sz w:val="20"/>
        </w:rPr>
        <w:t>y for non-GAAP financial measures:</w:t>
      </w:r>
    </w:p>
    <w:p w14:paraId="6E3CC414" w14:textId="77777777" w:rsidR="001F7F00" w:rsidRDefault="001F7F00" w:rsidP="00DC178B">
      <w:pPr>
        <w:pStyle w:val="ListParagraph"/>
        <w:spacing w:line="0" w:lineRule="atLeast"/>
        <w:ind w:left="360"/>
        <w:contextualSpacing/>
        <w:jc w:val="both"/>
        <w:rPr>
          <w:rFonts w:ascii="Arial" w:hAnsi="Arial" w:cs="Arial"/>
          <w:sz w:val="20"/>
        </w:rPr>
      </w:pPr>
    </w:p>
    <w:p w14:paraId="2C3B19FE" w14:textId="77777777" w:rsidR="001F7F00" w:rsidRPr="002E594C" w:rsidRDefault="001F7F00" w:rsidP="00241A2B">
      <w:pPr>
        <w:pStyle w:val="ListParagraph"/>
        <w:spacing w:line="0" w:lineRule="atLeast"/>
        <w:ind w:left="360"/>
        <w:contextualSpacing/>
        <w:jc w:val="both"/>
        <w:rPr>
          <w:rFonts w:ascii="Arial" w:hAnsi="Arial" w:cs="Arial"/>
          <w:sz w:val="20"/>
          <w:szCs w:val="20"/>
        </w:rPr>
      </w:pPr>
      <w:r w:rsidRPr="002E594C">
        <w:rPr>
          <w:rFonts w:ascii="Arial" w:hAnsi="Arial" w:cs="Arial"/>
          <w:sz w:val="20"/>
          <w:szCs w:val="20"/>
        </w:rPr>
        <w:t>We will present non-GAAP measures as follows:</w:t>
      </w:r>
    </w:p>
    <w:p w14:paraId="60759F66" w14:textId="77777777" w:rsidR="00241A2B" w:rsidRPr="00E13270" w:rsidRDefault="00241A2B" w:rsidP="00241A2B">
      <w:pPr>
        <w:pStyle w:val="ListParagraph"/>
        <w:numPr>
          <w:ilvl w:val="0"/>
          <w:numId w:val="66"/>
        </w:numPr>
        <w:spacing w:line="0" w:lineRule="atLeast"/>
        <w:contextualSpacing/>
        <w:jc w:val="both"/>
        <w:rPr>
          <w:rFonts w:ascii="Arial" w:hAnsi="Arial" w:cs="Arial"/>
          <w:sz w:val="20"/>
        </w:rPr>
      </w:pPr>
      <w:r w:rsidRPr="002E594C">
        <w:rPr>
          <w:rFonts w:ascii="Arial" w:hAnsi="Arial" w:cs="Arial"/>
          <w:sz w:val="20"/>
          <w:szCs w:val="20"/>
        </w:rPr>
        <w:t xml:space="preserve">Not on the face of the </w:t>
      </w:r>
      <w:r>
        <w:rPr>
          <w:rFonts w:ascii="Arial" w:hAnsi="Arial" w:cs="Arial"/>
          <w:sz w:val="20"/>
          <w:szCs w:val="20"/>
        </w:rPr>
        <w:t xml:space="preserve">U.S. </w:t>
      </w:r>
      <w:r w:rsidRPr="002E594C">
        <w:rPr>
          <w:rFonts w:ascii="Arial" w:hAnsi="Arial" w:cs="Arial"/>
          <w:sz w:val="20"/>
          <w:szCs w:val="20"/>
        </w:rPr>
        <w:t>GAAP financial statements or in the accompanying notes or on the face of any pro forma financial statements</w:t>
      </w:r>
      <w:r>
        <w:rPr>
          <w:rFonts w:ascii="Arial" w:hAnsi="Arial" w:cs="Arial"/>
          <w:sz w:val="20"/>
          <w:szCs w:val="20"/>
        </w:rPr>
        <w:t>, except for:</w:t>
      </w:r>
      <w:r w:rsidRPr="002E594C">
        <w:rPr>
          <w:rFonts w:ascii="Arial" w:hAnsi="Arial" w:cs="Arial"/>
          <w:sz w:val="20"/>
          <w:szCs w:val="20"/>
        </w:rPr>
        <w:t xml:space="preserve"> </w:t>
      </w:r>
    </w:p>
    <w:p w14:paraId="1B70F089" w14:textId="5AFD58EF" w:rsidR="00241A2B" w:rsidRPr="00C15972" w:rsidRDefault="00241A2B" w:rsidP="00241A2B">
      <w:pPr>
        <w:pStyle w:val="ListParagraph"/>
        <w:numPr>
          <w:ilvl w:val="0"/>
          <w:numId w:val="34"/>
        </w:numPr>
        <w:spacing w:line="0" w:lineRule="atLeast"/>
        <w:contextualSpacing/>
        <w:jc w:val="both"/>
        <w:rPr>
          <w:rFonts w:ascii="Arial" w:hAnsi="Arial" w:cs="Arial"/>
          <w:sz w:val="20"/>
        </w:rPr>
      </w:pPr>
      <w:r>
        <w:rPr>
          <w:rFonts w:ascii="Arial" w:hAnsi="Arial" w:cs="Arial"/>
          <w:sz w:val="20"/>
          <w:szCs w:val="20"/>
        </w:rPr>
        <w:t>Segment Adjusted EBITDA, which is presented in the notes to the financial statements in compliance with account guidance in ASC 280</w:t>
      </w:r>
      <w:r>
        <w:rPr>
          <w:rStyle w:val="FootnoteReference"/>
          <w:rFonts w:ascii="Arial" w:hAnsi="Arial" w:cs="Arial"/>
          <w:sz w:val="20"/>
          <w:szCs w:val="20"/>
        </w:rPr>
        <w:footnoteReference w:id="1"/>
      </w:r>
    </w:p>
    <w:p w14:paraId="56C8817F" w14:textId="77777777" w:rsidR="00241A2B" w:rsidRPr="00241A2B" w:rsidRDefault="00241A2B" w:rsidP="00241A2B">
      <w:pPr>
        <w:pStyle w:val="ListParagraph"/>
        <w:numPr>
          <w:ilvl w:val="0"/>
          <w:numId w:val="66"/>
        </w:numPr>
        <w:spacing w:line="0" w:lineRule="atLeast"/>
        <w:contextualSpacing/>
        <w:jc w:val="both"/>
        <w:rPr>
          <w:rFonts w:ascii="Arial" w:hAnsi="Arial" w:cs="Arial"/>
          <w:sz w:val="20"/>
          <w:szCs w:val="20"/>
        </w:rPr>
      </w:pPr>
      <w:r w:rsidRPr="00241A2B">
        <w:rPr>
          <w:rFonts w:ascii="Arial" w:hAnsi="Arial" w:cs="Arial"/>
          <w:sz w:val="20"/>
          <w:szCs w:val="20"/>
        </w:rPr>
        <w:t>With no greater prominence than the U.S. GAAP measure, including:</w:t>
      </w:r>
    </w:p>
    <w:p w14:paraId="651CDB26" w14:textId="77777777" w:rsidR="00241A2B" w:rsidRPr="00241A2B" w:rsidRDefault="00241A2B" w:rsidP="00241A2B">
      <w:pPr>
        <w:pStyle w:val="ListParagraph"/>
        <w:numPr>
          <w:ilvl w:val="0"/>
          <w:numId w:val="34"/>
        </w:numPr>
        <w:spacing w:line="0" w:lineRule="atLeast"/>
        <w:contextualSpacing/>
        <w:jc w:val="both"/>
        <w:rPr>
          <w:rFonts w:ascii="Arial" w:hAnsi="Arial" w:cs="Arial"/>
          <w:sz w:val="20"/>
        </w:rPr>
      </w:pPr>
      <w:r w:rsidRPr="00241A2B">
        <w:rPr>
          <w:rFonts w:ascii="Arial" w:hAnsi="Arial" w:cs="Arial"/>
          <w:sz w:val="20"/>
        </w:rPr>
        <w:t>No bolding</w:t>
      </w:r>
    </w:p>
    <w:p w14:paraId="1F101DDE" w14:textId="77777777" w:rsidR="00241A2B" w:rsidRPr="00C15972" w:rsidRDefault="00241A2B" w:rsidP="00241A2B">
      <w:pPr>
        <w:pStyle w:val="ListParagraph"/>
        <w:numPr>
          <w:ilvl w:val="0"/>
          <w:numId w:val="34"/>
        </w:numPr>
        <w:spacing w:line="0" w:lineRule="atLeast"/>
        <w:contextualSpacing/>
        <w:jc w:val="both"/>
        <w:rPr>
          <w:rFonts w:ascii="Arial" w:hAnsi="Arial" w:cs="Arial"/>
          <w:sz w:val="20"/>
        </w:rPr>
      </w:pPr>
      <w:r w:rsidRPr="00241A2B">
        <w:rPr>
          <w:rFonts w:ascii="Arial" w:hAnsi="Arial" w:cs="Arial"/>
          <w:sz w:val="20"/>
        </w:rPr>
        <w:t>No larger font</w:t>
      </w:r>
    </w:p>
    <w:p w14:paraId="4856980D" w14:textId="77777777" w:rsidR="00241A2B" w:rsidRPr="00C15972" w:rsidRDefault="00241A2B" w:rsidP="00241A2B">
      <w:pPr>
        <w:pStyle w:val="ListParagraph"/>
        <w:numPr>
          <w:ilvl w:val="0"/>
          <w:numId w:val="34"/>
        </w:numPr>
        <w:spacing w:line="0" w:lineRule="atLeast"/>
        <w:contextualSpacing/>
        <w:jc w:val="both"/>
        <w:rPr>
          <w:rFonts w:ascii="Arial" w:hAnsi="Arial" w:cs="Arial"/>
          <w:sz w:val="20"/>
        </w:rPr>
      </w:pPr>
      <w:r w:rsidRPr="00241A2B">
        <w:rPr>
          <w:rFonts w:ascii="Arial" w:hAnsi="Arial" w:cs="Arial"/>
          <w:sz w:val="20"/>
        </w:rPr>
        <w:t xml:space="preserve">No italics </w:t>
      </w:r>
    </w:p>
    <w:p w14:paraId="3D1412B9" w14:textId="77777777" w:rsidR="00241A2B" w:rsidRPr="00C15972" w:rsidRDefault="00241A2B" w:rsidP="00241A2B">
      <w:pPr>
        <w:pStyle w:val="ListParagraph"/>
        <w:numPr>
          <w:ilvl w:val="0"/>
          <w:numId w:val="34"/>
        </w:numPr>
        <w:spacing w:line="0" w:lineRule="atLeast"/>
        <w:contextualSpacing/>
        <w:jc w:val="both"/>
        <w:rPr>
          <w:rFonts w:ascii="Arial" w:hAnsi="Arial" w:cs="Arial"/>
          <w:sz w:val="20"/>
        </w:rPr>
      </w:pPr>
      <w:r w:rsidRPr="00241A2B">
        <w:rPr>
          <w:rFonts w:ascii="Arial" w:hAnsi="Arial" w:cs="Arial"/>
          <w:sz w:val="20"/>
        </w:rPr>
        <w:t>Not included in press release headlines, unless the most comparable GAAP measure is included first</w:t>
      </w:r>
    </w:p>
    <w:p w14:paraId="0250DEBE" w14:textId="4449A702" w:rsidR="00241A2B" w:rsidRDefault="00241A2B" w:rsidP="00241A2B">
      <w:pPr>
        <w:pStyle w:val="ListParagraph"/>
        <w:numPr>
          <w:ilvl w:val="0"/>
          <w:numId w:val="66"/>
        </w:numPr>
        <w:spacing w:line="0" w:lineRule="atLeast"/>
        <w:contextualSpacing/>
        <w:jc w:val="both"/>
        <w:rPr>
          <w:rFonts w:ascii="Arial" w:hAnsi="Arial" w:cs="Arial"/>
          <w:sz w:val="20"/>
        </w:rPr>
      </w:pPr>
      <w:r w:rsidRPr="00241A2B">
        <w:rPr>
          <w:rFonts w:ascii="Arial" w:hAnsi="Arial" w:cs="Arial"/>
          <w:sz w:val="20"/>
        </w:rPr>
        <w:t>Clearly labeled as non-GAAP with titles or descriptions that are not the same as, or confusingly like, titles or descriptions used for U.S. GAAP financial measures</w:t>
      </w:r>
    </w:p>
    <w:p w14:paraId="50CB3A7E" w14:textId="5898DDED" w:rsidR="00241A2B" w:rsidRDefault="00241A2B" w:rsidP="00241A2B">
      <w:pPr>
        <w:pStyle w:val="ListParagraph"/>
        <w:numPr>
          <w:ilvl w:val="0"/>
          <w:numId w:val="66"/>
        </w:numPr>
        <w:spacing w:line="0" w:lineRule="atLeast"/>
        <w:contextualSpacing/>
        <w:jc w:val="both"/>
        <w:rPr>
          <w:rFonts w:ascii="Arial" w:hAnsi="Arial" w:cs="Arial"/>
          <w:sz w:val="20"/>
        </w:rPr>
      </w:pPr>
      <w:r w:rsidRPr="00241A2B">
        <w:rPr>
          <w:rFonts w:ascii="Arial" w:hAnsi="Arial" w:cs="Arial"/>
          <w:sz w:val="20"/>
          <w:szCs w:val="20"/>
        </w:rPr>
        <w:t xml:space="preserve">Reconciled to the most directly comparable U.S. GAAP measure beginning </w:t>
      </w:r>
      <w:r w:rsidRPr="00241A2B">
        <w:rPr>
          <w:rFonts w:ascii="Arial" w:hAnsi="Arial" w:cs="Arial"/>
          <w:sz w:val="20"/>
        </w:rPr>
        <w:t>with the GAAP number</w:t>
      </w:r>
    </w:p>
    <w:p w14:paraId="7314EB31" w14:textId="7C1A64AD" w:rsidR="00241A2B" w:rsidRPr="00241A2B" w:rsidRDefault="00241A2B" w:rsidP="00241A2B">
      <w:pPr>
        <w:pStyle w:val="ListParagraph"/>
        <w:numPr>
          <w:ilvl w:val="0"/>
          <w:numId w:val="66"/>
        </w:numPr>
        <w:spacing w:line="0" w:lineRule="atLeast"/>
        <w:contextualSpacing/>
        <w:jc w:val="both"/>
        <w:rPr>
          <w:rFonts w:ascii="Arial" w:hAnsi="Arial" w:cs="Arial"/>
          <w:sz w:val="20"/>
          <w:szCs w:val="20"/>
        </w:rPr>
      </w:pPr>
      <w:r w:rsidRPr="00241A2B">
        <w:rPr>
          <w:rFonts w:ascii="Arial" w:hAnsi="Arial" w:cs="Arial"/>
          <w:sz w:val="20"/>
        </w:rPr>
        <w:t>With disclosures that explain why the measures are useful to the users/investors and any additional ways management uses the measure, if material</w:t>
      </w:r>
    </w:p>
    <w:p w14:paraId="687A5BEF" w14:textId="1B954D0B" w:rsidR="00241A2B" w:rsidRDefault="00241A2B" w:rsidP="00241A2B">
      <w:pPr>
        <w:pStyle w:val="ListParagraph"/>
        <w:numPr>
          <w:ilvl w:val="0"/>
          <w:numId w:val="66"/>
        </w:numPr>
        <w:spacing w:line="0" w:lineRule="atLeast"/>
        <w:contextualSpacing/>
        <w:jc w:val="both"/>
        <w:rPr>
          <w:rFonts w:ascii="Arial" w:hAnsi="Arial" w:cs="Arial"/>
          <w:sz w:val="20"/>
          <w:szCs w:val="20"/>
        </w:rPr>
      </w:pPr>
      <w:r w:rsidRPr="00241A2B">
        <w:rPr>
          <w:rFonts w:ascii="Arial" w:hAnsi="Arial" w:cs="Arial"/>
          <w:sz w:val="20"/>
          <w:szCs w:val="20"/>
        </w:rPr>
        <w:t xml:space="preserve">With the appropriate definitions and descriptions of the non-GAAP measure and the corresponding reconciling items to the </w:t>
      </w:r>
      <w:r w:rsidRPr="00241A2B">
        <w:rPr>
          <w:rFonts w:ascii="Arial" w:hAnsi="Arial" w:cs="Arial"/>
          <w:sz w:val="20"/>
        </w:rPr>
        <w:t xml:space="preserve">U.S. </w:t>
      </w:r>
      <w:r w:rsidRPr="00241A2B">
        <w:rPr>
          <w:rFonts w:ascii="Arial" w:hAnsi="Arial" w:cs="Arial"/>
          <w:sz w:val="20"/>
          <w:szCs w:val="20"/>
        </w:rPr>
        <w:t>GAAP measure</w:t>
      </w:r>
    </w:p>
    <w:p w14:paraId="616AA1EF" w14:textId="49B94CC7" w:rsidR="00241A2B" w:rsidRDefault="00241A2B" w:rsidP="00241A2B">
      <w:pPr>
        <w:pStyle w:val="ListParagraph"/>
        <w:numPr>
          <w:ilvl w:val="0"/>
          <w:numId w:val="66"/>
        </w:numPr>
        <w:spacing w:line="0" w:lineRule="atLeast"/>
        <w:contextualSpacing/>
        <w:jc w:val="both"/>
        <w:rPr>
          <w:rFonts w:ascii="Arial" w:hAnsi="Arial" w:cs="Arial"/>
          <w:sz w:val="20"/>
          <w:szCs w:val="20"/>
        </w:rPr>
      </w:pPr>
      <w:r w:rsidRPr="00241A2B">
        <w:rPr>
          <w:rFonts w:ascii="Arial" w:hAnsi="Arial" w:cs="Arial"/>
          <w:sz w:val="20"/>
          <w:szCs w:val="20"/>
        </w:rPr>
        <w:t>Any discussion of operating performance around a non-GAAP measure will follow the disclosure of the U.S. GAAP measure in the same area</w:t>
      </w:r>
    </w:p>
    <w:p w14:paraId="366BC278" w14:textId="64C34775" w:rsidR="00241A2B" w:rsidRDefault="00241A2B" w:rsidP="00241A2B">
      <w:pPr>
        <w:pStyle w:val="ListParagraph"/>
        <w:numPr>
          <w:ilvl w:val="0"/>
          <w:numId w:val="66"/>
        </w:numPr>
        <w:spacing w:line="0" w:lineRule="atLeast"/>
        <w:contextualSpacing/>
        <w:jc w:val="both"/>
        <w:rPr>
          <w:rFonts w:ascii="Arial" w:hAnsi="Arial" w:cs="Arial"/>
          <w:sz w:val="20"/>
          <w:szCs w:val="20"/>
        </w:rPr>
      </w:pPr>
      <w:r w:rsidRPr="002623C5">
        <w:rPr>
          <w:rFonts w:ascii="Arial" w:hAnsi="Arial" w:cs="Arial"/>
          <w:sz w:val="20"/>
          <w:szCs w:val="20"/>
        </w:rPr>
        <w:t xml:space="preserve">The non-GAAP measure will be </w:t>
      </w:r>
      <w:r w:rsidR="008D666E" w:rsidRPr="002623C5">
        <w:rPr>
          <w:rFonts w:ascii="Arial" w:hAnsi="Arial" w:cs="Arial"/>
          <w:sz w:val="20"/>
          <w:szCs w:val="20"/>
        </w:rPr>
        <w:t>balanced,</w:t>
      </w:r>
      <w:r w:rsidRPr="002623C5">
        <w:rPr>
          <w:rFonts w:ascii="Arial" w:hAnsi="Arial" w:cs="Arial"/>
          <w:sz w:val="20"/>
          <w:szCs w:val="20"/>
        </w:rPr>
        <w:t xml:space="preserve"> meaning that it will be adjusted for both nonrecurring expenses AND gains as well as consistently prepared from period to period</w:t>
      </w:r>
    </w:p>
    <w:p w14:paraId="5F1044A4" w14:textId="7FAEA888" w:rsidR="00241A2B" w:rsidRPr="002623C5" w:rsidRDefault="00241A2B" w:rsidP="00241A2B">
      <w:pPr>
        <w:pStyle w:val="ListParagraph"/>
        <w:numPr>
          <w:ilvl w:val="0"/>
          <w:numId w:val="66"/>
        </w:numPr>
        <w:spacing w:line="0" w:lineRule="atLeast"/>
        <w:contextualSpacing/>
        <w:jc w:val="both"/>
        <w:rPr>
          <w:rFonts w:ascii="Arial" w:hAnsi="Arial" w:cs="Arial"/>
          <w:sz w:val="20"/>
        </w:rPr>
      </w:pPr>
      <w:r w:rsidRPr="0014265E">
        <w:rPr>
          <w:rFonts w:ascii="Arial" w:hAnsi="Arial" w:cs="Arial"/>
          <w:bCs/>
          <w:iCs/>
          <w:sz w:val="20"/>
        </w:rPr>
        <w:lastRenderedPageBreak/>
        <w:t>Depending on the nature of the non-GAAP measure, the income tax effects should be provided</w:t>
      </w:r>
      <w:r w:rsidRPr="00C15972">
        <w:rPr>
          <w:rFonts w:ascii="Arial" w:hAnsi="Arial" w:cs="Arial"/>
          <w:sz w:val="20"/>
        </w:rPr>
        <w:t xml:space="preserve">. For a liquidity measure that </w:t>
      </w:r>
      <w:r w:rsidR="008D666E" w:rsidRPr="00C15972">
        <w:rPr>
          <w:rFonts w:ascii="Arial" w:hAnsi="Arial" w:cs="Arial"/>
          <w:sz w:val="20"/>
        </w:rPr>
        <w:t>includes</w:t>
      </w:r>
      <w:r w:rsidRPr="00C15972">
        <w:rPr>
          <w:rFonts w:ascii="Arial" w:hAnsi="Arial" w:cs="Arial"/>
          <w:sz w:val="20"/>
        </w:rPr>
        <w:t xml:space="preserve"> income taxes, GAAP taxes should be adjusted to show taxes paid in cash. For a performance measure, current and deferred income tax expense should be included commensurate with the non-GAAP measure of profitability. </w:t>
      </w:r>
      <w:r w:rsidRPr="0014265E">
        <w:rPr>
          <w:rFonts w:ascii="Arial" w:hAnsi="Arial" w:cs="Arial"/>
          <w:sz w:val="20"/>
        </w:rPr>
        <w:t>Adjustments to arrive at a non-GAAP measure “net of tax” should be shown as a separate adjustment and clearly explained</w:t>
      </w:r>
      <w:r w:rsidR="005E1533">
        <w:rPr>
          <w:rFonts w:ascii="Arial" w:hAnsi="Arial" w:cs="Arial"/>
          <w:sz w:val="20"/>
        </w:rPr>
        <w:t>.</w:t>
      </w:r>
    </w:p>
    <w:p w14:paraId="239E1D4B" w14:textId="255F3CBC" w:rsidR="001F7F00" w:rsidRPr="002E594C" w:rsidRDefault="00241A2B" w:rsidP="00241A2B">
      <w:pPr>
        <w:spacing w:line="0" w:lineRule="atLeast"/>
        <w:ind w:left="720"/>
        <w:contextualSpacing/>
        <w:jc w:val="both"/>
        <w:rPr>
          <w:rFonts w:ascii="Arial" w:hAnsi="Arial" w:cs="Arial"/>
          <w:sz w:val="20"/>
        </w:rPr>
      </w:pPr>
      <w:r w:rsidRPr="00241A2B">
        <w:rPr>
          <w:rFonts w:ascii="Arial" w:hAnsi="Arial" w:cs="Arial"/>
          <w:sz w:val="20"/>
        </w:rPr>
        <w:t xml:space="preserve"> </w:t>
      </w:r>
    </w:p>
    <w:p w14:paraId="79F491E7" w14:textId="77777777" w:rsidR="00F1236B" w:rsidRPr="002E594C" w:rsidRDefault="00F1236B" w:rsidP="00F1236B">
      <w:pPr>
        <w:autoSpaceDE w:val="0"/>
        <w:autoSpaceDN w:val="0"/>
        <w:adjustRightInd w:val="0"/>
        <w:ind w:left="720"/>
        <w:rPr>
          <w:rFonts w:ascii="Arial" w:hAnsi="Arial" w:cs="Arial"/>
          <w:sz w:val="20"/>
        </w:rPr>
      </w:pPr>
      <w:r w:rsidRPr="00C15972">
        <w:rPr>
          <w:rFonts w:ascii="Arial" w:hAnsi="Arial" w:cs="Arial"/>
          <w:sz w:val="20"/>
          <w:szCs w:val="24"/>
        </w:rPr>
        <w:t xml:space="preserve">We will not </w:t>
      </w:r>
      <w:r w:rsidRPr="002E594C">
        <w:rPr>
          <w:rFonts w:ascii="Arial" w:hAnsi="Arial" w:cs="Arial"/>
          <w:sz w:val="20"/>
        </w:rPr>
        <w:t xml:space="preserve">present non-GAAP measures in any of the prohibited </w:t>
      </w:r>
      <w:r>
        <w:rPr>
          <w:rFonts w:ascii="Arial" w:hAnsi="Arial" w:cs="Arial"/>
          <w:sz w:val="20"/>
        </w:rPr>
        <w:t xml:space="preserve">or misleading </w:t>
      </w:r>
      <w:r w:rsidRPr="002E594C">
        <w:rPr>
          <w:rFonts w:ascii="Arial" w:hAnsi="Arial" w:cs="Arial"/>
          <w:sz w:val="20"/>
        </w:rPr>
        <w:t xml:space="preserve">ways as listed below: </w:t>
      </w:r>
    </w:p>
    <w:p w14:paraId="368E3D8F" w14:textId="77777777" w:rsidR="00F1236B" w:rsidRPr="002E594C" w:rsidRDefault="00F1236B" w:rsidP="00F1236B">
      <w:pPr>
        <w:pStyle w:val="ListParagraph"/>
        <w:numPr>
          <w:ilvl w:val="0"/>
          <w:numId w:val="35"/>
        </w:numPr>
        <w:autoSpaceDE w:val="0"/>
        <w:autoSpaceDN w:val="0"/>
        <w:adjustRightInd w:val="0"/>
        <w:ind w:left="1440"/>
        <w:rPr>
          <w:rFonts w:ascii="Arial" w:hAnsi="Arial" w:cs="Arial"/>
          <w:sz w:val="20"/>
          <w:szCs w:val="20"/>
        </w:rPr>
      </w:pPr>
      <w:r w:rsidRPr="002E594C">
        <w:rPr>
          <w:rFonts w:ascii="Arial" w:hAnsi="Arial" w:cs="Arial"/>
          <w:sz w:val="20"/>
          <w:szCs w:val="20"/>
        </w:rPr>
        <w:t>The inclusion of material misstatements or omissions that would be misleading</w:t>
      </w:r>
    </w:p>
    <w:p w14:paraId="09DC6D7F" w14:textId="77777777" w:rsidR="00F1236B" w:rsidRPr="002E594C" w:rsidRDefault="00F1236B" w:rsidP="00F1236B">
      <w:pPr>
        <w:pStyle w:val="ListParagraph"/>
        <w:numPr>
          <w:ilvl w:val="0"/>
          <w:numId w:val="35"/>
        </w:numPr>
        <w:autoSpaceDE w:val="0"/>
        <w:autoSpaceDN w:val="0"/>
        <w:adjustRightInd w:val="0"/>
        <w:ind w:left="1440"/>
        <w:rPr>
          <w:rFonts w:ascii="Arial" w:hAnsi="Arial" w:cs="Arial"/>
          <w:sz w:val="20"/>
          <w:szCs w:val="20"/>
        </w:rPr>
      </w:pPr>
      <w:r w:rsidRPr="002E594C">
        <w:rPr>
          <w:rFonts w:ascii="Arial" w:hAnsi="Arial" w:cs="Arial"/>
          <w:sz w:val="20"/>
          <w:szCs w:val="20"/>
        </w:rPr>
        <w:t>The presentation of per-share measures of liquidity</w:t>
      </w:r>
    </w:p>
    <w:p w14:paraId="68614CBE" w14:textId="77777777" w:rsidR="00F1236B" w:rsidRPr="002E594C" w:rsidRDefault="00F1236B" w:rsidP="00F1236B">
      <w:pPr>
        <w:pStyle w:val="ListParagraph"/>
        <w:numPr>
          <w:ilvl w:val="0"/>
          <w:numId w:val="35"/>
        </w:numPr>
        <w:autoSpaceDE w:val="0"/>
        <w:autoSpaceDN w:val="0"/>
        <w:adjustRightInd w:val="0"/>
        <w:ind w:left="1440"/>
        <w:rPr>
          <w:rFonts w:ascii="Arial" w:hAnsi="Arial" w:cs="Arial"/>
          <w:sz w:val="20"/>
          <w:szCs w:val="20"/>
        </w:rPr>
      </w:pPr>
      <w:r w:rsidRPr="002E594C">
        <w:rPr>
          <w:rFonts w:ascii="Arial" w:hAnsi="Arial" w:cs="Arial"/>
          <w:sz w:val="20"/>
          <w:szCs w:val="20"/>
        </w:rPr>
        <w:t>The exclusion of charges or liabilities that require, or will require, cash settlement, or would have required cash settlement in the absence of an ability to settle in another matter</w:t>
      </w:r>
      <w:r>
        <w:rPr>
          <w:rFonts w:ascii="Arial" w:hAnsi="Arial" w:cs="Arial"/>
          <w:sz w:val="20"/>
          <w:szCs w:val="20"/>
        </w:rPr>
        <w:t>, from liquidity measures (not applicable to EBIT or EBITDA if they are presented as liquidity measures)</w:t>
      </w:r>
    </w:p>
    <w:p w14:paraId="77CA0A48" w14:textId="3A4D908E" w:rsidR="00F1236B" w:rsidRPr="002623C5" w:rsidRDefault="00F1236B" w:rsidP="00F1236B">
      <w:pPr>
        <w:pStyle w:val="ListParagraph"/>
        <w:numPr>
          <w:ilvl w:val="0"/>
          <w:numId w:val="35"/>
        </w:numPr>
        <w:autoSpaceDE w:val="0"/>
        <w:autoSpaceDN w:val="0"/>
        <w:adjustRightInd w:val="0"/>
        <w:ind w:left="1440"/>
        <w:rPr>
          <w:rFonts w:ascii="Arial" w:hAnsi="Arial" w:cs="Arial"/>
          <w:sz w:val="20"/>
        </w:rPr>
      </w:pPr>
      <w:r>
        <w:rPr>
          <w:rFonts w:ascii="Arial" w:hAnsi="Arial" w:cs="Arial"/>
          <w:sz w:val="20"/>
          <w:szCs w:val="20"/>
        </w:rPr>
        <w:t xml:space="preserve">Characterizing or naming an adjustment to a non-GAAP measure as “non-recurring” </w:t>
      </w:r>
      <w:r w:rsidRPr="002E594C">
        <w:rPr>
          <w:rFonts w:ascii="Arial" w:hAnsi="Arial" w:cs="Arial"/>
          <w:sz w:val="20"/>
          <w:szCs w:val="20"/>
        </w:rPr>
        <w:t xml:space="preserve">when the nature of the charge or gain is such that it is reasonably likely to recur within two years or there was a similar charge or gain within the </w:t>
      </w:r>
      <w:r w:rsidRPr="00C15972">
        <w:rPr>
          <w:rFonts w:ascii="Arial" w:hAnsi="Arial" w:cs="Arial"/>
          <w:sz w:val="20"/>
        </w:rPr>
        <w:t>prior two years</w:t>
      </w:r>
    </w:p>
    <w:p w14:paraId="1CF976A0" w14:textId="77777777"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Present a full income statement of non-GAAP measures or present a full non-GAAP income statement when reconciling non-GAAP measures to the most directly comparable GAAP measures</w:t>
      </w:r>
    </w:p>
    <w:p w14:paraId="2948A561" w14:textId="77777777"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Omit comparable GAAP measures from an earnings release headline or caption that includes non-GAAP measures</w:t>
      </w:r>
    </w:p>
    <w:p w14:paraId="62FD3821" w14:textId="77777777"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Present a non-GAAP measure using a style of presentation (e.g., bold, larger font) that emphasizes the non-GAAP measure</w:t>
      </w:r>
    </w:p>
    <w:p w14:paraId="275F252E" w14:textId="77777777"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Present a non-GAAP measure that precedes the most directly comparable GAAP measure (including in an earnings release headline or caption)</w:t>
      </w:r>
    </w:p>
    <w:p w14:paraId="08220B5D" w14:textId="77777777"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Describe a non-GAAP measure as, for example, “record performance” or “exceptional” without at least an equally prominent descriptive characterization of the comparable GAAP measure</w:t>
      </w:r>
    </w:p>
    <w:p w14:paraId="1D1AA45D" w14:textId="77777777"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Exclude a quantitative reconciliation with respect to a forward-looking non-GAAP measure in reliance on the “unreasonable efforts” exception in Item 10(e)(1)(i)(B) without disclosing that fact and identifying the information that is unavailable and its probable significance in a location of equal or greater prominence</w:t>
      </w:r>
    </w:p>
    <w:p w14:paraId="22203265" w14:textId="7F1051C2" w:rsidR="00F1236B" w:rsidRDefault="00F1236B" w:rsidP="00F1236B">
      <w:pPr>
        <w:pStyle w:val="ListParagraph"/>
        <w:numPr>
          <w:ilvl w:val="0"/>
          <w:numId w:val="36"/>
        </w:numPr>
        <w:autoSpaceDE w:val="0"/>
        <w:autoSpaceDN w:val="0"/>
        <w:adjustRightInd w:val="0"/>
        <w:ind w:left="1440"/>
        <w:rPr>
          <w:rFonts w:ascii="Arial" w:hAnsi="Arial" w:cs="Arial"/>
          <w:sz w:val="20"/>
        </w:rPr>
      </w:pPr>
      <w:r>
        <w:rPr>
          <w:rFonts w:ascii="Arial" w:hAnsi="Arial" w:cs="Arial"/>
          <w:sz w:val="20"/>
        </w:rPr>
        <w:t>Provide discussion and analysis of a non-GAAP measure without a similar discuss</w:t>
      </w:r>
      <w:r w:rsidR="00437440">
        <w:rPr>
          <w:rFonts w:ascii="Arial" w:hAnsi="Arial" w:cs="Arial"/>
          <w:sz w:val="20"/>
        </w:rPr>
        <w:t>ion</w:t>
      </w:r>
      <w:r>
        <w:rPr>
          <w:rFonts w:ascii="Arial" w:hAnsi="Arial" w:cs="Arial"/>
          <w:sz w:val="20"/>
        </w:rPr>
        <w:t xml:space="preserve"> and analysis of the comparable GAAP measure in a location with equal or greater prominence</w:t>
      </w:r>
    </w:p>
    <w:p w14:paraId="4839FF6B" w14:textId="77777777" w:rsidR="00F1236B" w:rsidRPr="00C15972" w:rsidRDefault="00F1236B" w:rsidP="00F1236B">
      <w:pPr>
        <w:pStyle w:val="ListParagraph"/>
        <w:numPr>
          <w:ilvl w:val="0"/>
          <w:numId w:val="36"/>
        </w:numPr>
        <w:autoSpaceDE w:val="0"/>
        <w:autoSpaceDN w:val="0"/>
        <w:adjustRightInd w:val="0"/>
        <w:ind w:left="1440"/>
        <w:rPr>
          <w:rFonts w:ascii="Arial" w:hAnsi="Arial" w:cs="Arial"/>
          <w:sz w:val="20"/>
        </w:rPr>
      </w:pPr>
      <w:r w:rsidRPr="00C15972">
        <w:rPr>
          <w:rFonts w:ascii="Arial" w:hAnsi="Arial" w:cs="Arial"/>
          <w:sz w:val="20"/>
        </w:rPr>
        <w:t>Exclude normal, recurring cash operating expenses necessary for business operation</w:t>
      </w:r>
    </w:p>
    <w:p w14:paraId="74088495" w14:textId="77777777" w:rsidR="00F1236B" w:rsidRPr="00C15972" w:rsidRDefault="00F1236B" w:rsidP="00F1236B">
      <w:pPr>
        <w:pStyle w:val="ListParagraph"/>
        <w:numPr>
          <w:ilvl w:val="0"/>
          <w:numId w:val="36"/>
        </w:numPr>
        <w:autoSpaceDE w:val="0"/>
        <w:autoSpaceDN w:val="0"/>
        <w:adjustRightInd w:val="0"/>
        <w:ind w:left="1440"/>
        <w:rPr>
          <w:rFonts w:ascii="Arial" w:hAnsi="Arial" w:cs="Arial"/>
          <w:sz w:val="20"/>
        </w:rPr>
      </w:pPr>
      <w:r w:rsidRPr="00C15972">
        <w:rPr>
          <w:rFonts w:ascii="Arial" w:hAnsi="Arial" w:cs="Arial"/>
          <w:sz w:val="20"/>
        </w:rPr>
        <w:t>Adjust an item in the current reporting period but do not adjust for a similar item in the prior period</w:t>
      </w:r>
    </w:p>
    <w:p w14:paraId="05D34ABC" w14:textId="77777777" w:rsidR="00F1236B" w:rsidRPr="00C15972" w:rsidRDefault="00F1236B" w:rsidP="00F1236B">
      <w:pPr>
        <w:pStyle w:val="ListParagraph"/>
        <w:numPr>
          <w:ilvl w:val="0"/>
          <w:numId w:val="36"/>
        </w:numPr>
        <w:autoSpaceDE w:val="0"/>
        <w:autoSpaceDN w:val="0"/>
        <w:adjustRightInd w:val="0"/>
        <w:ind w:left="1440"/>
        <w:rPr>
          <w:rFonts w:ascii="Arial" w:hAnsi="Arial" w:cs="Arial"/>
          <w:sz w:val="20"/>
        </w:rPr>
      </w:pPr>
      <w:r w:rsidRPr="00C15972">
        <w:rPr>
          <w:rFonts w:ascii="Arial" w:hAnsi="Arial" w:cs="Arial"/>
          <w:sz w:val="20"/>
        </w:rPr>
        <w:t>Exclude certain nonrecurring charges but do not exclude nonrecurring gains</w:t>
      </w:r>
    </w:p>
    <w:p w14:paraId="15E6B27D" w14:textId="2C727B6B" w:rsidR="00F1236B" w:rsidRDefault="00F1236B" w:rsidP="00F1236B">
      <w:pPr>
        <w:pStyle w:val="ListParagraph"/>
        <w:numPr>
          <w:ilvl w:val="0"/>
          <w:numId w:val="36"/>
        </w:numPr>
        <w:autoSpaceDE w:val="0"/>
        <w:autoSpaceDN w:val="0"/>
        <w:adjustRightInd w:val="0"/>
        <w:ind w:left="1440"/>
        <w:rPr>
          <w:rFonts w:ascii="Arial" w:hAnsi="Arial" w:cs="Arial"/>
          <w:sz w:val="20"/>
        </w:rPr>
      </w:pPr>
      <w:r w:rsidRPr="00C15972">
        <w:rPr>
          <w:rFonts w:ascii="Arial" w:hAnsi="Arial" w:cs="Arial"/>
          <w:sz w:val="20"/>
        </w:rPr>
        <w:t>Based on individually tailored accounting principles, including certain adjusted revenue measures</w:t>
      </w:r>
    </w:p>
    <w:p w14:paraId="34A89E21" w14:textId="4CAF6270" w:rsidR="001F7F00" w:rsidRPr="00F1236B" w:rsidRDefault="00F1236B" w:rsidP="00F1236B">
      <w:pPr>
        <w:pStyle w:val="ListParagraph"/>
        <w:numPr>
          <w:ilvl w:val="0"/>
          <w:numId w:val="36"/>
        </w:numPr>
        <w:autoSpaceDE w:val="0"/>
        <w:autoSpaceDN w:val="0"/>
        <w:adjustRightInd w:val="0"/>
        <w:ind w:left="1440"/>
        <w:rPr>
          <w:rFonts w:ascii="Arial" w:hAnsi="Arial" w:cs="Arial"/>
          <w:sz w:val="20"/>
        </w:rPr>
      </w:pPr>
      <w:r w:rsidRPr="00F1236B">
        <w:rPr>
          <w:rFonts w:ascii="Arial" w:hAnsi="Arial" w:cs="Arial"/>
          <w:sz w:val="20"/>
        </w:rPr>
        <w:t>Adjust to accelerate revenue recognized ratably over time under GAAP as though it was earned when customers are billed</w:t>
      </w:r>
    </w:p>
    <w:p w14:paraId="58B3FDAB" w14:textId="77777777" w:rsidR="0068560B" w:rsidRDefault="0068560B" w:rsidP="0093197C">
      <w:pPr>
        <w:autoSpaceDE w:val="0"/>
        <w:autoSpaceDN w:val="0"/>
        <w:adjustRightInd w:val="0"/>
        <w:ind w:left="360"/>
        <w:rPr>
          <w:rFonts w:ascii="Arial" w:hAnsi="Arial" w:cs="Arial"/>
          <w:b/>
          <w:sz w:val="20"/>
          <w:szCs w:val="24"/>
        </w:rPr>
      </w:pPr>
    </w:p>
    <w:p w14:paraId="18C7068A" w14:textId="1827E0F1" w:rsidR="001F7F00" w:rsidRDefault="001F7F00" w:rsidP="0093197C">
      <w:pPr>
        <w:autoSpaceDE w:val="0"/>
        <w:autoSpaceDN w:val="0"/>
        <w:adjustRightInd w:val="0"/>
        <w:ind w:left="360"/>
        <w:rPr>
          <w:rFonts w:ascii="Arial" w:hAnsi="Arial" w:cs="Arial"/>
          <w:b/>
          <w:sz w:val="20"/>
          <w:szCs w:val="24"/>
          <w:u w:val="single"/>
        </w:rPr>
      </w:pPr>
      <w:r w:rsidRPr="00F1236B">
        <w:rPr>
          <w:rFonts w:ascii="Arial" w:hAnsi="Arial" w:cs="Arial"/>
          <w:b/>
          <w:sz w:val="20"/>
          <w:szCs w:val="24"/>
          <w:u w:val="single"/>
        </w:rPr>
        <w:t>Company Approved non-GAAP Measures</w:t>
      </w:r>
    </w:p>
    <w:p w14:paraId="4CED46C1" w14:textId="56304E49" w:rsidR="00F1236B" w:rsidRDefault="00F1236B" w:rsidP="0093197C">
      <w:pPr>
        <w:autoSpaceDE w:val="0"/>
        <w:autoSpaceDN w:val="0"/>
        <w:adjustRightInd w:val="0"/>
        <w:ind w:left="360"/>
        <w:rPr>
          <w:rFonts w:ascii="Arial" w:hAnsi="Arial" w:cs="Arial"/>
          <w:b/>
          <w:sz w:val="20"/>
          <w:szCs w:val="24"/>
          <w:u w:val="single"/>
        </w:rPr>
      </w:pPr>
    </w:p>
    <w:p w14:paraId="00E8ECCF" w14:textId="77777777" w:rsidR="00F1236B" w:rsidRDefault="00F1236B" w:rsidP="00F1236B">
      <w:pPr>
        <w:autoSpaceDE w:val="0"/>
        <w:autoSpaceDN w:val="0"/>
        <w:adjustRightInd w:val="0"/>
        <w:ind w:left="360"/>
        <w:rPr>
          <w:rFonts w:ascii="Arial" w:hAnsi="Arial" w:cs="Arial"/>
          <w:sz w:val="20"/>
          <w:szCs w:val="24"/>
        </w:rPr>
      </w:pPr>
      <w:r>
        <w:rPr>
          <w:rFonts w:ascii="Arial" w:hAnsi="Arial" w:cs="Arial"/>
          <w:sz w:val="20"/>
          <w:szCs w:val="24"/>
        </w:rPr>
        <w:t>The following non-GAAP measures and adjustments to non-GAAP measures have been previously approved by Company management:</w:t>
      </w:r>
    </w:p>
    <w:p w14:paraId="2652A830" w14:textId="46486F15" w:rsidR="001F7F00" w:rsidRDefault="001F7F00" w:rsidP="0093197C">
      <w:pPr>
        <w:autoSpaceDE w:val="0"/>
        <w:autoSpaceDN w:val="0"/>
        <w:adjustRightInd w:val="0"/>
        <w:ind w:left="360"/>
        <w:rPr>
          <w:rFonts w:ascii="Arial" w:hAnsi="Arial" w:cs="Arial"/>
          <w:sz w:val="20"/>
          <w:szCs w:val="24"/>
        </w:rPr>
      </w:pPr>
    </w:p>
    <w:p w14:paraId="72A0B6D5" w14:textId="1A2BB8CE" w:rsidR="00437440" w:rsidRDefault="00437440" w:rsidP="0093197C">
      <w:pPr>
        <w:autoSpaceDE w:val="0"/>
        <w:autoSpaceDN w:val="0"/>
        <w:adjustRightInd w:val="0"/>
        <w:ind w:left="360"/>
        <w:rPr>
          <w:rFonts w:ascii="Arial" w:hAnsi="Arial" w:cs="Arial"/>
          <w:bCs/>
          <w:sz w:val="20"/>
          <w:szCs w:val="24"/>
        </w:rPr>
      </w:pPr>
      <w:r>
        <w:rPr>
          <w:rFonts w:ascii="Arial" w:hAnsi="Arial" w:cs="Arial"/>
          <w:b/>
          <w:sz w:val="20"/>
          <w:szCs w:val="24"/>
        </w:rPr>
        <w:t>Organic Revenue Growth</w:t>
      </w:r>
    </w:p>
    <w:p w14:paraId="79E3B0CE" w14:textId="4375D877" w:rsidR="00437440" w:rsidRDefault="00437440" w:rsidP="0093197C">
      <w:pPr>
        <w:autoSpaceDE w:val="0"/>
        <w:autoSpaceDN w:val="0"/>
        <w:adjustRightInd w:val="0"/>
        <w:ind w:left="360"/>
        <w:rPr>
          <w:rFonts w:ascii="Arial" w:hAnsi="Arial" w:cs="Arial"/>
          <w:bCs/>
          <w:sz w:val="20"/>
          <w:szCs w:val="24"/>
        </w:rPr>
      </w:pPr>
      <w:r w:rsidRPr="00437440">
        <w:rPr>
          <w:rFonts w:ascii="Arial" w:hAnsi="Arial" w:cs="Arial"/>
          <w:bCs/>
          <w:sz w:val="20"/>
          <w:szCs w:val="24"/>
        </w:rPr>
        <w:t>The Company defines the term “organic revenue” as revenue in the stated period excluding the impact from business acquisitions and divestitures. The Company uses the related term “organic revenue growth” or "organic growth" to refer to the financial performance metric of comparing the stated period's organic revenue with the comparable reported revenue of the corresponding period in the prior year. The Company believes that these non-GAAP financial measures, when taken together with GAAP financial measures, allow the Company and its investors to better measure the Company’s performance and evaluate long-term performance trends. Organic revenue growth also facilitates easier comparisons of the Company’s performance with prior and future periods and relative comparisons to its peers. The Company excludes the effect of acquisitions and divestitures because these activities can have a significant impact on the Company's reported results, which the Company believes makes comparisons of long-term performance trends difficult for management and investors.</w:t>
      </w:r>
    </w:p>
    <w:p w14:paraId="5C49267F" w14:textId="07ED8EA0" w:rsidR="001F7F00" w:rsidRDefault="001F7F00" w:rsidP="0093197C">
      <w:pPr>
        <w:autoSpaceDE w:val="0"/>
        <w:autoSpaceDN w:val="0"/>
        <w:adjustRightInd w:val="0"/>
        <w:ind w:left="360"/>
        <w:rPr>
          <w:rFonts w:ascii="Arial" w:hAnsi="Arial" w:cs="Arial"/>
          <w:sz w:val="20"/>
          <w:szCs w:val="24"/>
        </w:rPr>
      </w:pPr>
    </w:p>
    <w:p w14:paraId="16AF9411" w14:textId="07023B9B" w:rsidR="00F1236B" w:rsidRPr="002623C5" w:rsidRDefault="00437440" w:rsidP="00F1236B">
      <w:pPr>
        <w:autoSpaceDE w:val="0"/>
        <w:autoSpaceDN w:val="0"/>
        <w:adjustRightInd w:val="0"/>
        <w:ind w:left="360"/>
        <w:rPr>
          <w:rFonts w:ascii="Arial" w:hAnsi="Arial" w:cs="Arial"/>
          <w:b/>
          <w:bCs/>
          <w:sz w:val="20"/>
          <w:szCs w:val="24"/>
        </w:rPr>
      </w:pPr>
      <w:r>
        <w:rPr>
          <w:rFonts w:ascii="Arial" w:hAnsi="Arial" w:cs="Arial"/>
          <w:b/>
          <w:bCs/>
          <w:sz w:val="20"/>
          <w:szCs w:val="24"/>
        </w:rPr>
        <w:lastRenderedPageBreak/>
        <w:t xml:space="preserve">Adjusted EBITDA, Adjusted EBITDA Margin, </w:t>
      </w:r>
      <w:r w:rsidR="00F1236B" w:rsidRPr="002623C5">
        <w:rPr>
          <w:rFonts w:ascii="Arial" w:hAnsi="Arial" w:cs="Arial"/>
          <w:b/>
          <w:bCs/>
          <w:sz w:val="20"/>
          <w:szCs w:val="24"/>
        </w:rPr>
        <w:t xml:space="preserve">Non-GAAP Gross Profit, </w:t>
      </w:r>
      <w:r>
        <w:rPr>
          <w:rFonts w:ascii="Arial" w:hAnsi="Arial" w:cs="Arial"/>
          <w:b/>
          <w:bCs/>
          <w:sz w:val="20"/>
          <w:szCs w:val="24"/>
        </w:rPr>
        <w:t xml:space="preserve">Non-GAAP </w:t>
      </w:r>
      <w:r w:rsidR="00F1236B">
        <w:rPr>
          <w:rFonts w:ascii="Arial" w:hAnsi="Arial" w:cs="Arial"/>
          <w:b/>
          <w:bCs/>
          <w:sz w:val="20"/>
          <w:szCs w:val="24"/>
        </w:rPr>
        <w:t xml:space="preserve">Gross Margin, </w:t>
      </w:r>
      <w:r>
        <w:rPr>
          <w:rFonts w:ascii="Arial" w:hAnsi="Arial" w:cs="Arial"/>
          <w:b/>
          <w:bCs/>
          <w:sz w:val="20"/>
          <w:szCs w:val="24"/>
        </w:rPr>
        <w:t xml:space="preserve">Non-GAAP </w:t>
      </w:r>
      <w:r w:rsidR="00F1236B">
        <w:rPr>
          <w:rFonts w:ascii="Arial" w:hAnsi="Arial" w:cs="Arial"/>
          <w:b/>
          <w:bCs/>
          <w:sz w:val="20"/>
          <w:szCs w:val="24"/>
        </w:rPr>
        <w:t xml:space="preserve">Operating Income, </w:t>
      </w:r>
      <w:r>
        <w:rPr>
          <w:rFonts w:ascii="Arial" w:hAnsi="Arial" w:cs="Arial"/>
          <w:b/>
          <w:bCs/>
          <w:sz w:val="20"/>
          <w:szCs w:val="24"/>
        </w:rPr>
        <w:t xml:space="preserve">Non-GAAP </w:t>
      </w:r>
      <w:r w:rsidR="00F1236B">
        <w:rPr>
          <w:rFonts w:ascii="Arial" w:hAnsi="Arial" w:cs="Arial"/>
          <w:b/>
          <w:bCs/>
          <w:sz w:val="20"/>
          <w:szCs w:val="24"/>
        </w:rPr>
        <w:t xml:space="preserve">Operating Expenses, </w:t>
      </w:r>
      <w:r>
        <w:rPr>
          <w:rFonts w:ascii="Arial" w:hAnsi="Arial" w:cs="Arial"/>
          <w:b/>
          <w:bCs/>
          <w:sz w:val="20"/>
          <w:szCs w:val="24"/>
        </w:rPr>
        <w:t xml:space="preserve">Non-GAAP R&amp;D, Non-GAAP </w:t>
      </w:r>
      <w:r w:rsidR="00F1236B">
        <w:rPr>
          <w:rFonts w:ascii="Arial" w:hAnsi="Arial" w:cs="Arial"/>
          <w:b/>
          <w:bCs/>
          <w:sz w:val="20"/>
          <w:szCs w:val="24"/>
        </w:rPr>
        <w:t xml:space="preserve">Operating Margin, </w:t>
      </w:r>
      <w:r>
        <w:rPr>
          <w:rFonts w:ascii="Arial" w:hAnsi="Arial" w:cs="Arial"/>
          <w:b/>
          <w:bCs/>
          <w:sz w:val="20"/>
          <w:szCs w:val="24"/>
        </w:rPr>
        <w:t xml:space="preserve">Non-GAAP </w:t>
      </w:r>
      <w:r w:rsidR="00F1236B">
        <w:rPr>
          <w:rFonts w:ascii="Arial" w:hAnsi="Arial" w:cs="Arial"/>
          <w:b/>
          <w:bCs/>
          <w:sz w:val="20"/>
          <w:szCs w:val="24"/>
        </w:rPr>
        <w:t xml:space="preserve">Net Income, </w:t>
      </w:r>
      <w:r>
        <w:rPr>
          <w:rFonts w:ascii="Arial" w:hAnsi="Arial" w:cs="Arial"/>
          <w:b/>
          <w:bCs/>
          <w:sz w:val="20"/>
          <w:szCs w:val="24"/>
        </w:rPr>
        <w:t xml:space="preserve">Non-GAAP </w:t>
      </w:r>
      <w:r w:rsidR="002D2258">
        <w:rPr>
          <w:rFonts w:ascii="Arial" w:hAnsi="Arial" w:cs="Arial"/>
          <w:b/>
          <w:bCs/>
          <w:sz w:val="20"/>
          <w:szCs w:val="24"/>
        </w:rPr>
        <w:t>Earnings per share of Class A Common Stock</w:t>
      </w:r>
    </w:p>
    <w:p w14:paraId="20052E50" w14:textId="77777777" w:rsidR="002D2258" w:rsidRDefault="002D2258" w:rsidP="00F1236B">
      <w:pPr>
        <w:autoSpaceDE w:val="0"/>
        <w:autoSpaceDN w:val="0"/>
        <w:adjustRightInd w:val="0"/>
        <w:ind w:left="360"/>
        <w:rPr>
          <w:rFonts w:ascii="Arial" w:hAnsi="Arial" w:cs="Arial"/>
          <w:sz w:val="20"/>
          <w:szCs w:val="24"/>
        </w:rPr>
      </w:pPr>
      <w:r w:rsidRPr="002D2258">
        <w:rPr>
          <w:rFonts w:ascii="Arial" w:hAnsi="Arial" w:cs="Arial"/>
          <w:sz w:val="20"/>
          <w:szCs w:val="24"/>
        </w:rPr>
        <w:t>We present Adjusted EBITDA, Adjusted EBITDA Margin, Non-GAAP Gross Profit, Non-GAAP (or Adjusted) Gross Margin, Non-GAAP Operating Income, Non-GAAP Operating Expenses, Non-GAAP R&amp;D, Non-GAAP Operating Margin, Non-GAAP Net Income, and Non-GAAP Earnings per share of Class A common stock, all non-GAAP financial measures, to supplement our GAAP financial reporting because we believe these measures are useful indicators of our operating performance.</w:t>
      </w:r>
    </w:p>
    <w:p w14:paraId="14BDED3D" w14:textId="77777777" w:rsidR="002D2258" w:rsidRDefault="002D2258" w:rsidP="00F1236B">
      <w:pPr>
        <w:autoSpaceDE w:val="0"/>
        <w:autoSpaceDN w:val="0"/>
        <w:adjustRightInd w:val="0"/>
        <w:ind w:left="360"/>
        <w:rPr>
          <w:rFonts w:ascii="Arial" w:hAnsi="Arial" w:cs="Arial"/>
          <w:sz w:val="20"/>
          <w:szCs w:val="24"/>
        </w:rPr>
      </w:pPr>
    </w:p>
    <w:p w14:paraId="68CFFC28" w14:textId="7BB5701D" w:rsidR="00F1236B" w:rsidRDefault="002D2258" w:rsidP="00F1236B">
      <w:pPr>
        <w:autoSpaceDE w:val="0"/>
        <w:autoSpaceDN w:val="0"/>
        <w:adjustRightInd w:val="0"/>
        <w:ind w:left="360"/>
        <w:rPr>
          <w:rFonts w:ascii="Arial" w:hAnsi="Arial" w:cs="Arial"/>
          <w:sz w:val="20"/>
          <w:szCs w:val="24"/>
        </w:rPr>
      </w:pPr>
      <w:r w:rsidRPr="002D2258">
        <w:rPr>
          <w:rFonts w:ascii="Arial" w:hAnsi="Arial" w:cs="Arial"/>
          <w:sz w:val="20"/>
          <w:szCs w:val="24"/>
        </w:rPr>
        <w:t>Our management uses Non-GAAP Gross Profit, Non-GAAP Gross Margin, Non-GAAP Operating Income, Non-GAAP Operating Expense, Non-GAAP Operating Margin and Non-GAAP Net Income principally as measures of our operating performance and believes that these non-GAAP financial measures are useful to better understand the long term performance of our core business and to facilitate comparison of our results to those of peer companies. Our management also uses these non-GAAP financial measures for planning purposes, including the preparation of our annual operating budget and financial projections.</w:t>
      </w:r>
      <w:r w:rsidRPr="002D2258" w:rsidDel="002D2258">
        <w:rPr>
          <w:rFonts w:ascii="Arial" w:hAnsi="Arial" w:cs="Arial"/>
          <w:sz w:val="20"/>
          <w:szCs w:val="24"/>
        </w:rPr>
        <w:t xml:space="preserve"> </w:t>
      </w:r>
      <w:r w:rsidR="007A0C21" w:rsidRPr="007A0C21">
        <w:rPr>
          <w:rFonts w:ascii="Arial" w:hAnsi="Arial" w:cs="Arial"/>
          <w:sz w:val="20"/>
          <w:szCs w:val="24"/>
        </w:rPr>
        <w:t xml:space="preserve"> </w:t>
      </w:r>
    </w:p>
    <w:p w14:paraId="02071DB8" w14:textId="75AF1738" w:rsidR="00B93B7F" w:rsidRDefault="00B93B7F" w:rsidP="00F1236B">
      <w:pPr>
        <w:autoSpaceDE w:val="0"/>
        <w:autoSpaceDN w:val="0"/>
        <w:adjustRightInd w:val="0"/>
        <w:ind w:left="360"/>
        <w:rPr>
          <w:rFonts w:ascii="Arial" w:hAnsi="Arial" w:cs="Arial"/>
          <w:sz w:val="20"/>
          <w:szCs w:val="24"/>
        </w:rPr>
      </w:pPr>
    </w:p>
    <w:p w14:paraId="5E46D6BE" w14:textId="77777777" w:rsidR="00B93B7F" w:rsidRDefault="00B93B7F" w:rsidP="00B93B7F">
      <w:pPr>
        <w:autoSpaceDE w:val="0"/>
        <w:autoSpaceDN w:val="0"/>
        <w:adjustRightInd w:val="0"/>
        <w:ind w:left="360"/>
        <w:rPr>
          <w:rFonts w:ascii="Arial" w:hAnsi="Arial" w:cs="Arial"/>
          <w:sz w:val="20"/>
          <w:szCs w:val="24"/>
        </w:rPr>
      </w:pPr>
      <w:r>
        <w:rPr>
          <w:rFonts w:ascii="Arial" w:hAnsi="Arial" w:cs="Arial"/>
          <w:sz w:val="20"/>
          <w:szCs w:val="24"/>
        </w:rPr>
        <w:t>These measures are calculated as follows:</w:t>
      </w:r>
    </w:p>
    <w:p w14:paraId="5EA92671" w14:textId="77777777" w:rsidR="00B93B7F" w:rsidRDefault="00B93B7F" w:rsidP="00B93B7F">
      <w:pPr>
        <w:autoSpaceDE w:val="0"/>
        <w:autoSpaceDN w:val="0"/>
        <w:adjustRightInd w:val="0"/>
        <w:ind w:left="360"/>
        <w:rPr>
          <w:rFonts w:ascii="Arial" w:hAnsi="Arial" w:cs="Arial"/>
          <w:sz w:val="20"/>
          <w:szCs w:val="24"/>
        </w:rPr>
      </w:pPr>
    </w:p>
    <w:p w14:paraId="0DAB4C99" w14:textId="1FF79325" w:rsidR="002D2258" w:rsidRDefault="002D2258" w:rsidP="00B93B7F">
      <w:pPr>
        <w:autoSpaceDE w:val="0"/>
        <w:autoSpaceDN w:val="0"/>
        <w:adjustRightInd w:val="0"/>
        <w:ind w:left="360"/>
        <w:rPr>
          <w:rFonts w:ascii="Arial" w:hAnsi="Arial" w:cs="Arial"/>
          <w:sz w:val="20"/>
          <w:szCs w:val="24"/>
        </w:rPr>
      </w:pPr>
      <w:r>
        <w:rPr>
          <w:rFonts w:ascii="Arial" w:hAnsi="Arial" w:cs="Arial"/>
          <w:sz w:val="20"/>
          <w:szCs w:val="24"/>
          <w:u w:val="single"/>
        </w:rPr>
        <w:t>Adjusted EBITDA</w:t>
      </w:r>
    </w:p>
    <w:p w14:paraId="3CB401E3" w14:textId="76A60277" w:rsidR="002D2258" w:rsidRPr="003611CC"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Adjusted EBITDA as net income (loss) before depreciation and amortization, provision of income taxes and interest expense, net, adjusted for the impact of certain cash, non-cash and other items that we do not consider in our evaluation of ongoing operating performance. These items include acquisition and divestiture related costs, certain shareholder litigation costs, impairment of assets, restructuring </w:t>
      </w:r>
      <w:r w:rsidR="00D60687">
        <w:rPr>
          <w:rFonts w:ascii="Arial" w:hAnsi="Arial" w:cs="Arial"/>
          <w:sz w:val="20"/>
          <w:szCs w:val="24"/>
        </w:rPr>
        <w:t>costs</w:t>
      </w:r>
      <w:r w:rsidRPr="002D2258">
        <w:rPr>
          <w:rFonts w:ascii="Arial" w:hAnsi="Arial" w:cs="Arial"/>
          <w:sz w:val="20"/>
          <w:szCs w:val="24"/>
        </w:rPr>
        <w:t xml:space="preserve">, equity-based compensation expense, </w:t>
      </w:r>
      <w:r w:rsidR="00A250C7">
        <w:rPr>
          <w:rFonts w:ascii="Arial" w:hAnsi="Arial" w:cs="Arial"/>
          <w:sz w:val="20"/>
          <w:szCs w:val="24"/>
        </w:rPr>
        <w:t>debt refinancing, loss on extinguishment of debt</w:t>
      </w:r>
      <w:r w:rsidRPr="002D2258">
        <w:rPr>
          <w:rFonts w:ascii="Arial" w:hAnsi="Arial" w:cs="Arial"/>
          <w:sz w:val="20"/>
          <w:szCs w:val="24"/>
        </w:rPr>
        <w:t xml:space="preserve"> and other items. We define Adjusted EBITDA Margin as Adjusted EBITDA as a percent of net sales. Our management uses Adjusted EBITDA principally as a measure of our operating performance and believes that Adjusted EBITDA is useful to our investors because it is frequently used by securities analysts, investors and other interested parties in their evaluation of the operating performance of companies in industries similar to ours. Our management also uses Adjusted EBITDA for planning purposes, including the preparation of our annual operating budget and financial projections.</w:t>
      </w:r>
    </w:p>
    <w:p w14:paraId="0B42931B" w14:textId="77777777" w:rsidR="002D2258" w:rsidRDefault="002D2258" w:rsidP="00B93B7F">
      <w:pPr>
        <w:autoSpaceDE w:val="0"/>
        <w:autoSpaceDN w:val="0"/>
        <w:adjustRightInd w:val="0"/>
        <w:ind w:left="360"/>
        <w:rPr>
          <w:rFonts w:ascii="Arial" w:hAnsi="Arial" w:cs="Arial"/>
          <w:sz w:val="20"/>
          <w:szCs w:val="24"/>
          <w:u w:val="single"/>
        </w:rPr>
      </w:pPr>
    </w:p>
    <w:p w14:paraId="1A349AB7" w14:textId="52AE7EC8" w:rsidR="00B93B7F" w:rsidRPr="002623C5" w:rsidRDefault="00B93B7F" w:rsidP="00B93B7F">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Gross Profit</w:t>
      </w:r>
    </w:p>
    <w:p w14:paraId="6F2013E7" w14:textId="3D6A5663" w:rsidR="00B93B7F"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Non-GAAP Gross Profit as gross profit, adjusted for the impact of certain cash, non-cash and other items that we do not consider in our evaluation of ongoing operating performance. These items include depreciation and amortization included in the cost of goods sold and acquisition and divestiture related costs in the cost of goods sold. </w:t>
      </w:r>
    </w:p>
    <w:p w14:paraId="3CA87250" w14:textId="77777777" w:rsidR="00B93B7F" w:rsidRPr="00C8141E" w:rsidRDefault="00B93B7F" w:rsidP="00B93B7F">
      <w:pPr>
        <w:autoSpaceDE w:val="0"/>
        <w:autoSpaceDN w:val="0"/>
        <w:adjustRightInd w:val="0"/>
        <w:rPr>
          <w:rFonts w:ascii="Arial" w:hAnsi="Arial" w:cs="Arial"/>
          <w:sz w:val="20"/>
          <w:szCs w:val="24"/>
        </w:rPr>
      </w:pPr>
    </w:p>
    <w:p w14:paraId="25364865" w14:textId="14A5B0AC" w:rsidR="00B93B7F" w:rsidRPr="002623C5" w:rsidRDefault="00B93B7F" w:rsidP="00B25AFE">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Gross Margin</w:t>
      </w:r>
    </w:p>
    <w:p w14:paraId="2E8422A9" w14:textId="09F1B3F8" w:rsidR="00B93B7F" w:rsidRDefault="00B93B7F" w:rsidP="00B93B7F">
      <w:pPr>
        <w:autoSpaceDE w:val="0"/>
        <w:autoSpaceDN w:val="0"/>
        <w:adjustRightInd w:val="0"/>
        <w:ind w:left="360"/>
        <w:rPr>
          <w:rFonts w:ascii="Arial" w:hAnsi="Arial" w:cs="Arial"/>
          <w:sz w:val="20"/>
          <w:szCs w:val="24"/>
        </w:rPr>
      </w:pPr>
      <w:r w:rsidRPr="0014265E">
        <w:rPr>
          <w:rFonts w:ascii="Arial" w:hAnsi="Arial" w:cs="Arial"/>
          <w:sz w:val="20"/>
          <w:szCs w:val="24"/>
        </w:rPr>
        <w:t xml:space="preserve">We define Non-GAAP Gross Margin as the calculated ratio of Non-GAAP Gross Profit to net sales. </w:t>
      </w:r>
    </w:p>
    <w:p w14:paraId="1E326A50" w14:textId="77777777" w:rsidR="00B93B7F" w:rsidRPr="00C8141E" w:rsidRDefault="00B93B7F" w:rsidP="00B93B7F">
      <w:pPr>
        <w:autoSpaceDE w:val="0"/>
        <w:autoSpaceDN w:val="0"/>
        <w:adjustRightInd w:val="0"/>
        <w:ind w:left="360"/>
        <w:rPr>
          <w:rFonts w:ascii="Arial" w:hAnsi="Arial" w:cs="Arial"/>
          <w:sz w:val="20"/>
          <w:szCs w:val="24"/>
        </w:rPr>
      </w:pPr>
    </w:p>
    <w:p w14:paraId="0F254C64" w14:textId="77777777" w:rsidR="00B93B7F" w:rsidRPr="002623C5" w:rsidRDefault="00B93B7F" w:rsidP="00B93B7F">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Operating Income</w:t>
      </w:r>
    </w:p>
    <w:p w14:paraId="24F05D30" w14:textId="0223F46A" w:rsidR="00B93B7F"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Non-GAAP Operating Income as operating income, adjusted for the impact of certain cash, non-cash and other items that we do not consider in our evaluation of ongoing operating performance. These items include depreciation and amortization, acquisition and divestiture related costs, certain shareholder litigation costs, impairment of assets, restructuring </w:t>
      </w:r>
      <w:r w:rsidR="00413045">
        <w:rPr>
          <w:rFonts w:ascii="Arial" w:hAnsi="Arial" w:cs="Arial"/>
          <w:sz w:val="20"/>
          <w:szCs w:val="24"/>
        </w:rPr>
        <w:t>costs</w:t>
      </w:r>
      <w:r w:rsidRPr="002D2258">
        <w:rPr>
          <w:rFonts w:ascii="Arial" w:hAnsi="Arial" w:cs="Arial"/>
          <w:sz w:val="20"/>
          <w:szCs w:val="24"/>
        </w:rPr>
        <w:t xml:space="preserve">, </w:t>
      </w:r>
      <w:r w:rsidR="00413045">
        <w:rPr>
          <w:rFonts w:ascii="Arial" w:hAnsi="Arial" w:cs="Arial"/>
          <w:sz w:val="20"/>
          <w:szCs w:val="24"/>
        </w:rPr>
        <w:t>debt refinancing</w:t>
      </w:r>
      <w:r w:rsidRPr="002D2258">
        <w:rPr>
          <w:rFonts w:ascii="Arial" w:hAnsi="Arial" w:cs="Arial"/>
          <w:sz w:val="20"/>
          <w:szCs w:val="24"/>
        </w:rPr>
        <w:t xml:space="preserve"> and other items. </w:t>
      </w:r>
    </w:p>
    <w:p w14:paraId="3433D181" w14:textId="77777777" w:rsidR="00B93B7F" w:rsidRPr="00C8141E" w:rsidRDefault="00B93B7F" w:rsidP="00B93B7F">
      <w:pPr>
        <w:autoSpaceDE w:val="0"/>
        <w:autoSpaceDN w:val="0"/>
        <w:adjustRightInd w:val="0"/>
        <w:ind w:left="360"/>
        <w:rPr>
          <w:rFonts w:ascii="Arial" w:hAnsi="Arial" w:cs="Arial"/>
          <w:sz w:val="20"/>
          <w:szCs w:val="24"/>
        </w:rPr>
      </w:pPr>
    </w:p>
    <w:p w14:paraId="42F91E40" w14:textId="77777777" w:rsidR="00B93B7F" w:rsidRPr="002623C5" w:rsidRDefault="00B93B7F" w:rsidP="00B93B7F">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Operating Expenses</w:t>
      </w:r>
    </w:p>
    <w:p w14:paraId="6A0A55AA" w14:textId="7581E7B4" w:rsidR="00B93B7F"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Non-GAAP Operating Expenses as operating expenses, adjusted to exclude certain cash, non-cash and other items that we do not consider in our evaluation of ongoing operating performance. These items include depreciation and amortization, acquisition and divestiture related costs, certain shareholder litigation costs, impairment of assets, restructuring </w:t>
      </w:r>
      <w:r w:rsidR="00C27083">
        <w:rPr>
          <w:rFonts w:ascii="Arial" w:hAnsi="Arial" w:cs="Arial"/>
          <w:sz w:val="20"/>
          <w:szCs w:val="24"/>
        </w:rPr>
        <w:t>costs</w:t>
      </w:r>
      <w:r w:rsidRPr="002D2258">
        <w:rPr>
          <w:rFonts w:ascii="Arial" w:hAnsi="Arial" w:cs="Arial"/>
          <w:sz w:val="20"/>
          <w:szCs w:val="24"/>
        </w:rPr>
        <w:t xml:space="preserve">, </w:t>
      </w:r>
      <w:r w:rsidR="00C27083">
        <w:rPr>
          <w:rFonts w:ascii="Arial" w:hAnsi="Arial" w:cs="Arial"/>
          <w:sz w:val="20"/>
          <w:szCs w:val="24"/>
        </w:rPr>
        <w:t>debt refinancing</w:t>
      </w:r>
      <w:r w:rsidRPr="002D2258">
        <w:rPr>
          <w:rFonts w:ascii="Arial" w:hAnsi="Arial" w:cs="Arial"/>
          <w:sz w:val="20"/>
          <w:szCs w:val="24"/>
        </w:rPr>
        <w:t xml:space="preserve"> and other items.</w:t>
      </w:r>
    </w:p>
    <w:p w14:paraId="2985417C" w14:textId="77777777" w:rsidR="00B93B7F" w:rsidRPr="00C8141E" w:rsidRDefault="00B93B7F" w:rsidP="00B93B7F">
      <w:pPr>
        <w:autoSpaceDE w:val="0"/>
        <w:autoSpaceDN w:val="0"/>
        <w:adjustRightInd w:val="0"/>
        <w:ind w:left="360"/>
        <w:rPr>
          <w:rFonts w:ascii="Arial" w:hAnsi="Arial" w:cs="Arial"/>
          <w:sz w:val="20"/>
          <w:szCs w:val="24"/>
        </w:rPr>
      </w:pPr>
    </w:p>
    <w:p w14:paraId="782E0D02" w14:textId="77777777" w:rsidR="00B93B7F" w:rsidRPr="002623C5" w:rsidRDefault="00B93B7F" w:rsidP="00B93B7F">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Operating Margin</w:t>
      </w:r>
    </w:p>
    <w:p w14:paraId="19B5F333" w14:textId="77777777" w:rsidR="00B93B7F" w:rsidRDefault="00B93B7F" w:rsidP="00B93B7F">
      <w:pPr>
        <w:autoSpaceDE w:val="0"/>
        <w:autoSpaceDN w:val="0"/>
        <w:adjustRightInd w:val="0"/>
        <w:ind w:left="360"/>
        <w:rPr>
          <w:rFonts w:ascii="Arial" w:hAnsi="Arial" w:cs="Arial"/>
          <w:sz w:val="20"/>
          <w:szCs w:val="24"/>
        </w:rPr>
      </w:pPr>
      <w:r w:rsidRPr="003B7F41">
        <w:rPr>
          <w:rFonts w:ascii="Arial" w:hAnsi="Arial" w:cs="Arial"/>
          <w:sz w:val="20"/>
          <w:szCs w:val="24"/>
        </w:rPr>
        <w:t xml:space="preserve">Non-GAAP Operating Margin is defined as defined as Non-GAAP Operating Income divided by net sales. </w:t>
      </w:r>
    </w:p>
    <w:p w14:paraId="743FAD89" w14:textId="77777777" w:rsidR="00B93B7F" w:rsidRPr="00C8141E" w:rsidRDefault="00B93B7F" w:rsidP="00B93B7F">
      <w:pPr>
        <w:autoSpaceDE w:val="0"/>
        <w:autoSpaceDN w:val="0"/>
        <w:adjustRightInd w:val="0"/>
        <w:ind w:left="360"/>
        <w:rPr>
          <w:rFonts w:ascii="Arial" w:hAnsi="Arial" w:cs="Arial"/>
          <w:sz w:val="20"/>
          <w:szCs w:val="24"/>
        </w:rPr>
      </w:pPr>
    </w:p>
    <w:p w14:paraId="0FE99154" w14:textId="53DB2E73" w:rsidR="00D9767D" w:rsidRDefault="00D9767D" w:rsidP="00B93B7F">
      <w:pPr>
        <w:autoSpaceDE w:val="0"/>
        <w:autoSpaceDN w:val="0"/>
        <w:adjustRightInd w:val="0"/>
        <w:ind w:left="360"/>
        <w:rPr>
          <w:rFonts w:ascii="Arial" w:hAnsi="Arial" w:cs="Arial"/>
          <w:sz w:val="20"/>
          <w:szCs w:val="24"/>
        </w:rPr>
      </w:pPr>
      <w:r>
        <w:rPr>
          <w:rFonts w:ascii="Arial" w:hAnsi="Arial" w:cs="Arial"/>
          <w:sz w:val="20"/>
          <w:szCs w:val="24"/>
          <w:u w:val="single"/>
        </w:rPr>
        <w:t>Non-GAAP R&amp;D</w:t>
      </w:r>
    </w:p>
    <w:p w14:paraId="15EA3B69" w14:textId="13A2E7AB" w:rsidR="00D9767D"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Non-GAAP R&amp;D as research and development, adjusted to exclude certain cash, non-cash and other items that we do not consider in our evaluation of ongoing operating performance. These items include depreciation and amortization, acquisition and divestiture related costs, restructuring </w:t>
      </w:r>
      <w:r w:rsidR="00061C7C">
        <w:rPr>
          <w:rFonts w:ascii="Arial" w:hAnsi="Arial" w:cs="Arial"/>
          <w:sz w:val="20"/>
          <w:szCs w:val="24"/>
        </w:rPr>
        <w:t>costs</w:t>
      </w:r>
      <w:r w:rsidRPr="002D2258">
        <w:rPr>
          <w:rFonts w:ascii="Arial" w:hAnsi="Arial" w:cs="Arial"/>
          <w:sz w:val="20"/>
          <w:szCs w:val="24"/>
        </w:rPr>
        <w:t>, and other items.</w:t>
      </w:r>
    </w:p>
    <w:p w14:paraId="7A29CA2B" w14:textId="77777777" w:rsidR="00D9767D" w:rsidRDefault="00D9767D" w:rsidP="00B93B7F">
      <w:pPr>
        <w:autoSpaceDE w:val="0"/>
        <w:autoSpaceDN w:val="0"/>
        <w:adjustRightInd w:val="0"/>
        <w:ind w:left="360"/>
        <w:rPr>
          <w:rFonts w:ascii="Arial" w:hAnsi="Arial" w:cs="Arial"/>
          <w:sz w:val="20"/>
          <w:szCs w:val="24"/>
          <w:u w:val="single"/>
        </w:rPr>
      </w:pPr>
    </w:p>
    <w:p w14:paraId="49F161F2" w14:textId="2CB01531" w:rsidR="00B93B7F" w:rsidRPr="002623C5" w:rsidRDefault="00B93B7F" w:rsidP="00B93B7F">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Net Income</w:t>
      </w:r>
    </w:p>
    <w:p w14:paraId="4C476072" w14:textId="0B734B09" w:rsidR="00B93B7F"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Non-GAAP Net Income as Net Income, adjusted for the impact of certain cash, non-cash and other items that we do not consider in our evaluation of ongoing operating performance. These items include depreciation and amortization, acquisition and divestiture related costs, certain shareholder litigation costs, restructuring </w:t>
      </w:r>
      <w:r w:rsidR="001D7109">
        <w:rPr>
          <w:rFonts w:ascii="Arial" w:hAnsi="Arial" w:cs="Arial"/>
          <w:sz w:val="20"/>
          <w:szCs w:val="24"/>
        </w:rPr>
        <w:t>costs</w:t>
      </w:r>
      <w:r w:rsidRPr="002D2258">
        <w:rPr>
          <w:rFonts w:ascii="Arial" w:hAnsi="Arial" w:cs="Arial"/>
          <w:sz w:val="20"/>
          <w:szCs w:val="24"/>
        </w:rPr>
        <w:t xml:space="preserve">, impairment of assets, </w:t>
      </w:r>
      <w:r w:rsidR="00447D74">
        <w:rPr>
          <w:rFonts w:ascii="Arial" w:hAnsi="Arial" w:cs="Arial"/>
          <w:sz w:val="20"/>
          <w:szCs w:val="24"/>
        </w:rPr>
        <w:t>debt refinancing</w:t>
      </w:r>
      <w:r w:rsidRPr="002D2258">
        <w:rPr>
          <w:rFonts w:ascii="Arial" w:hAnsi="Arial" w:cs="Arial"/>
          <w:sz w:val="20"/>
          <w:szCs w:val="24"/>
        </w:rPr>
        <w:t>,</w:t>
      </w:r>
      <w:r w:rsidR="00447D74">
        <w:rPr>
          <w:rFonts w:ascii="Arial" w:hAnsi="Arial" w:cs="Arial"/>
          <w:sz w:val="20"/>
          <w:szCs w:val="24"/>
        </w:rPr>
        <w:t xml:space="preserve"> loss on extinguishment of debt,</w:t>
      </w:r>
      <w:r w:rsidRPr="002D2258">
        <w:rPr>
          <w:rFonts w:ascii="Arial" w:hAnsi="Arial" w:cs="Arial"/>
          <w:sz w:val="20"/>
          <w:szCs w:val="24"/>
        </w:rPr>
        <w:t xml:space="preserve"> other items</w:t>
      </w:r>
      <w:r w:rsidR="00CC6292">
        <w:rPr>
          <w:rFonts w:ascii="Arial" w:hAnsi="Arial" w:cs="Arial"/>
          <w:sz w:val="20"/>
          <w:szCs w:val="24"/>
        </w:rPr>
        <w:t xml:space="preserve">, </w:t>
      </w:r>
      <w:r w:rsidRPr="002D2258">
        <w:rPr>
          <w:rFonts w:ascii="Arial" w:hAnsi="Arial" w:cs="Arial"/>
          <w:sz w:val="20"/>
          <w:szCs w:val="24"/>
        </w:rPr>
        <w:t>the tax effect of adjusting items</w:t>
      </w:r>
      <w:r w:rsidR="00CC6292">
        <w:rPr>
          <w:rFonts w:ascii="Arial" w:hAnsi="Arial" w:cs="Arial"/>
          <w:sz w:val="20"/>
          <w:szCs w:val="24"/>
        </w:rPr>
        <w:t xml:space="preserve">, and </w:t>
      </w:r>
      <w:r w:rsidR="00DC7DF9">
        <w:rPr>
          <w:rFonts w:ascii="Arial" w:hAnsi="Arial" w:cs="Arial"/>
          <w:sz w:val="20"/>
        </w:rPr>
        <w:t>discrete tax items</w:t>
      </w:r>
      <w:r w:rsidR="00ED7C76">
        <w:rPr>
          <w:rFonts w:ascii="Arial" w:hAnsi="Arial" w:cs="Arial"/>
          <w:sz w:val="20"/>
        </w:rPr>
        <w:t>. Discrete tax items include the tax impact related to significant transactions that are not part of our ongoing operating performance, and current and deferred income tax expense commensurate with Non-GAAP Net Income</w:t>
      </w:r>
      <w:r w:rsidRPr="002D2258">
        <w:rPr>
          <w:rFonts w:ascii="Arial" w:hAnsi="Arial" w:cs="Arial"/>
          <w:sz w:val="20"/>
          <w:szCs w:val="24"/>
        </w:rPr>
        <w:t>.</w:t>
      </w:r>
    </w:p>
    <w:p w14:paraId="694BE5F4" w14:textId="77777777" w:rsidR="00B93B7F" w:rsidRPr="00C8141E" w:rsidRDefault="00B93B7F" w:rsidP="00B93B7F">
      <w:pPr>
        <w:autoSpaceDE w:val="0"/>
        <w:autoSpaceDN w:val="0"/>
        <w:adjustRightInd w:val="0"/>
        <w:ind w:left="360"/>
        <w:rPr>
          <w:rFonts w:ascii="Arial" w:hAnsi="Arial" w:cs="Arial"/>
          <w:sz w:val="20"/>
          <w:szCs w:val="24"/>
        </w:rPr>
      </w:pPr>
    </w:p>
    <w:p w14:paraId="1FC1BB1A" w14:textId="77777777" w:rsidR="00B93B7F" w:rsidRPr="002623C5" w:rsidRDefault="00B93B7F" w:rsidP="00B93B7F">
      <w:pPr>
        <w:autoSpaceDE w:val="0"/>
        <w:autoSpaceDN w:val="0"/>
        <w:adjustRightInd w:val="0"/>
        <w:ind w:left="360"/>
        <w:rPr>
          <w:rFonts w:ascii="Arial" w:hAnsi="Arial" w:cs="Arial"/>
          <w:sz w:val="20"/>
          <w:szCs w:val="24"/>
          <w:u w:val="single"/>
        </w:rPr>
      </w:pPr>
      <w:r w:rsidRPr="002623C5">
        <w:rPr>
          <w:rFonts w:ascii="Arial" w:hAnsi="Arial" w:cs="Arial"/>
          <w:sz w:val="20"/>
          <w:szCs w:val="24"/>
          <w:u w:val="single"/>
        </w:rPr>
        <w:t>Non-GAAP Earnings per Share</w:t>
      </w:r>
    </w:p>
    <w:p w14:paraId="663398C7" w14:textId="1746C0AC" w:rsidR="00B93B7F" w:rsidRPr="00C8141E" w:rsidRDefault="002D2258" w:rsidP="00B93B7F">
      <w:pPr>
        <w:autoSpaceDE w:val="0"/>
        <w:autoSpaceDN w:val="0"/>
        <w:adjustRightInd w:val="0"/>
        <w:ind w:left="360"/>
        <w:rPr>
          <w:rFonts w:ascii="Arial" w:hAnsi="Arial" w:cs="Arial"/>
          <w:sz w:val="20"/>
          <w:szCs w:val="24"/>
        </w:rPr>
      </w:pPr>
      <w:r w:rsidRPr="002D2258">
        <w:rPr>
          <w:rFonts w:ascii="Arial" w:hAnsi="Arial" w:cs="Arial"/>
          <w:sz w:val="20"/>
          <w:szCs w:val="24"/>
        </w:rPr>
        <w:t xml:space="preserve">We define Non-GAAP Earnings per Class A share as Earnings per Class A share, adjusted for the impact of certain cash, non-cash and other items that we do not consider in our evaluation of ongoing operating performance. These items include depreciation and amortization, acquisition and divestiture related costs, certain shareholder litigation costs, restructuring </w:t>
      </w:r>
      <w:r w:rsidR="006C300D">
        <w:rPr>
          <w:rFonts w:ascii="Arial" w:hAnsi="Arial" w:cs="Arial"/>
          <w:sz w:val="20"/>
          <w:szCs w:val="24"/>
        </w:rPr>
        <w:t>costs</w:t>
      </w:r>
      <w:r w:rsidRPr="002D2258">
        <w:rPr>
          <w:rFonts w:ascii="Arial" w:hAnsi="Arial" w:cs="Arial"/>
          <w:sz w:val="20"/>
          <w:szCs w:val="24"/>
        </w:rPr>
        <w:t xml:space="preserve">, impairment of assets, </w:t>
      </w:r>
      <w:r w:rsidR="006C300D">
        <w:rPr>
          <w:rFonts w:ascii="Arial" w:hAnsi="Arial" w:cs="Arial"/>
          <w:sz w:val="20"/>
          <w:szCs w:val="24"/>
        </w:rPr>
        <w:t>debt refinancing</w:t>
      </w:r>
      <w:r w:rsidRPr="002D2258">
        <w:rPr>
          <w:rFonts w:ascii="Arial" w:hAnsi="Arial" w:cs="Arial"/>
          <w:sz w:val="20"/>
          <w:szCs w:val="24"/>
        </w:rPr>
        <w:t>,</w:t>
      </w:r>
      <w:r w:rsidR="006C300D">
        <w:rPr>
          <w:rFonts w:ascii="Arial" w:hAnsi="Arial" w:cs="Arial"/>
          <w:sz w:val="20"/>
          <w:szCs w:val="24"/>
        </w:rPr>
        <w:t xml:space="preserve"> loss on extinguishment of debt,</w:t>
      </w:r>
      <w:r w:rsidRPr="002D2258">
        <w:rPr>
          <w:rFonts w:ascii="Arial" w:hAnsi="Arial" w:cs="Arial"/>
          <w:sz w:val="20"/>
          <w:szCs w:val="24"/>
        </w:rPr>
        <w:t xml:space="preserve"> other items</w:t>
      </w:r>
      <w:r w:rsidR="006C300D">
        <w:rPr>
          <w:rFonts w:ascii="Arial" w:hAnsi="Arial" w:cs="Arial"/>
          <w:sz w:val="20"/>
          <w:szCs w:val="24"/>
        </w:rPr>
        <w:t>,</w:t>
      </w:r>
      <w:r w:rsidRPr="002D2258">
        <w:rPr>
          <w:rFonts w:ascii="Arial" w:hAnsi="Arial" w:cs="Arial"/>
          <w:sz w:val="20"/>
          <w:szCs w:val="24"/>
        </w:rPr>
        <w:t xml:space="preserve"> and the tax effect of adjusting items divided by weighted average number of shares of Class A common stock outstanding during the period</w:t>
      </w:r>
      <w:r w:rsidR="00DC7DF9">
        <w:rPr>
          <w:rFonts w:ascii="Arial" w:hAnsi="Arial" w:cs="Arial"/>
          <w:sz w:val="20"/>
          <w:szCs w:val="24"/>
        </w:rPr>
        <w:t xml:space="preserve">. We </w:t>
      </w:r>
      <w:r w:rsidR="004442BB">
        <w:rPr>
          <w:rFonts w:ascii="Arial" w:hAnsi="Arial" w:cs="Arial"/>
          <w:sz w:val="20"/>
          <w:szCs w:val="24"/>
        </w:rPr>
        <w:t>modify adjusted EPS for discrete tax items as discussed above.</w:t>
      </w:r>
      <w:r w:rsidR="00BA3BD4">
        <w:rPr>
          <w:rFonts w:ascii="Arial" w:hAnsi="Arial" w:cs="Arial"/>
          <w:sz w:val="20"/>
          <w:szCs w:val="24"/>
        </w:rPr>
        <w:t xml:space="preserve"> These discrete tax items are recorded at the Bioventus Inc. parent company level and therefore are not adjusted to remove the impact of non-controlling interest</w:t>
      </w:r>
      <w:r w:rsidRPr="002D2258">
        <w:rPr>
          <w:rFonts w:ascii="Arial" w:hAnsi="Arial" w:cs="Arial"/>
          <w:sz w:val="20"/>
          <w:szCs w:val="24"/>
        </w:rPr>
        <w:t>.</w:t>
      </w:r>
    </w:p>
    <w:p w14:paraId="6478FD4E" w14:textId="77777777" w:rsidR="00B93B7F" w:rsidRDefault="00B93B7F" w:rsidP="00B93B7F">
      <w:pPr>
        <w:autoSpaceDE w:val="0"/>
        <w:autoSpaceDN w:val="0"/>
        <w:adjustRightInd w:val="0"/>
        <w:rPr>
          <w:rFonts w:ascii="Arial" w:hAnsi="Arial" w:cs="Arial"/>
          <w:sz w:val="20"/>
          <w:szCs w:val="24"/>
        </w:rPr>
      </w:pPr>
    </w:p>
    <w:p w14:paraId="3E8642E9" w14:textId="7C7F7067" w:rsidR="002D2258" w:rsidRDefault="002D2258" w:rsidP="002D2258">
      <w:pPr>
        <w:autoSpaceDE w:val="0"/>
        <w:autoSpaceDN w:val="0"/>
        <w:adjustRightInd w:val="0"/>
        <w:ind w:left="360"/>
        <w:rPr>
          <w:rFonts w:ascii="Arial" w:hAnsi="Arial" w:cs="Arial"/>
          <w:sz w:val="20"/>
          <w:szCs w:val="24"/>
        </w:rPr>
      </w:pPr>
      <w:r>
        <w:rPr>
          <w:rFonts w:ascii="Arial" w:hAnsi="Arial" w:cs="Arial"/>
          <w:b/>
          <w:bCs/>
          <w:sz w:val="20"/>
          <w:szCs w:val="24"/>
        </w:rPr>
        <w:t>Net Sales, International Net Sales Growth and Constant Currency Basis</w:t>
      </w:r>
    </w:p>
    <w:p w14:paraId="38C5BFA8" w14:textId="54BAB56F" w:rsidR="002D2258" w:rsidRPr="002D2258" w:rsidRDefault="002D2258" w:rsidP="003611CC">
      <w:pPr>
        <w:autoSpaceDE w:val="0"/>
        <w:autoSpaceDN w:val="0"/>
        <w:adjustRightInd w:val="0"/>
        <w:ind w:left="360"/>
        <w:rPr>
          <w:rFonts w:ascii="Arial" w:hAnsi="Arial" w:cs="Arial"/>
          <w:sz w:val="20"/>
          <w:szCs w:val="24"/>
        </w:rPr>
      </w:pPr>
      <w:r w:rsidRPr="002D2258">
        <w:rPr>
          <w:rFonts w:ascii="Arial" w:hAnsi="Arial" w:cs="Arial"/>
          <w:sz w:val="20"/>
          <w:szCs w:val="24"/>
        </w:rPr>
        <w:t>Net Sales, International Net Sales Growth and Constant Currency Basis are non-GAAP measures, which are calculated by translating current and prior year results at the same foreign currency exchange rate. Constant currency can be presented for numerous GAAP measures, but is most commonly used by management to facilitate the comparison of sales in foreign currencies to prior periods and analyze net sales performance without the impact of changes in foreign currency exchange rates.</w:t>
      </w:r>
    </w:p>
    <w:p w14:paraId="20ABAAA0" w14:textId="77777777" w:rsidR="002D2258" w:rsidRDefault="002D2258" w:rsidP="00B93B7F">
      <w:pPr>
        <w:autoSpaceDE w:val="0"/>
        <w:autoSpaceDN w:val="0"/>
        <w:adjustRightInd w:val="0"/>
        <w:rPr>
          <w:rFonts w:ascii="Arial" w:hAnsi="Arial" w:cs="Arial"/>
          <w:sz w:val="20"/>
          <w:szCs w:val="24"/>
        </w:rPr>
      </w:pPr>
    </w:p>
    <w:p w14:paraId="109A9293" w14:textId="77777777" w:rsidR="00B93B7F" w:rsidRDefault="00B93B7F" w:rsidP="00B93B7F">
      <w:pPr>
        <w:autoSpaceDE w:val="0"/>
        <w:autoSpaceDN w:val="0"/>
        <w:adjustRightInd w:val="0"/>
        <w:ind w:left="360"/>
        <w:rPr>
          <w:rFonts w:ascii="Arial" w:hAnsi="Arial" w:cs="Arial"/>
          <w:b/>
          <w:bCs/>
          <w:sz w:val="20"/>
          <w:szCs w:val="24"/>
        </w:rPr>
      </w:pPr>
      <w:r>
        <w:rPr>
          <w:rFonts w:ascii="Arial" w:hAnsi="Arial" w:cs="Arial"/>
          <w:b/>
          <w:bCs/>
          <w:sz w:val="20"/>
          <w:szCs w:val="24"/>
        </w:rPr>
        <w:t>Adjustments to non-GAAP Measures</w:t>
      </w:r>
    </w:p>
    <w:p w14:paraId="14F5C0D6" w14:textId="77777777" w:rsidR="00B93B7F" w:rsidRDefault="00B93B7F" w:rsidP="00B93B7F">
      <w:pPr>
        <w:autoSpaceDE w:val="0"/>
        <w:autoSpaceDN w:val="0"/>
        <w:adjustRightInd w:val="0"/>
        <w:ind w:left="360"/>
        <w:rPr>
          <w:rFonts w:ascii="Arial" w:hAnsi="Arial" w:cs="Arial"/>
          <w:b/>
          <w:bCs/>
          <w:sz w:val="20"/>
          <w:szCs w:val="24"/>
        </w:rPr>
      </w:pPr>
    </w:p>
    <w:p w14:paraId="0DEA066A" w14:textId="3E70D84C" w:rsidR="00BC07A2" w:rsidRDefault="00335FA4" w:rsidP="00B93B7F">
      <w:pPr>
        <w:autoSpaceDE w:val="0"/>
        <w:autoSpaceDN w:val="0"/>
        <w:adjustRightInd w:val="0"/>
        <w:ind w:left="360"/>
        <w:rPr>
          <w:rFonts w:ascii="Arial" w:hAnsi="Arial" w:cs="Arial"/>
          <w:sz w:val="20"/>
          <w:szCs w:val="24"/>
        </w:rPr>
      </w:pPr>
      <w:r>
        <w:rPr>
          <w:rFonts w:ascii="Arial" w:hAnsi="Arial" w:cs="Arial"/>
          <w:b/>
          <w:bCs/>
          <w:i/>
          <w:iCs/>
          <w:sz w:val="20"/>
          <w:szCs w:val="24"/>
        </w:rPr>
        <w:t>Materiality</w:t>
      </w:r>
    </w:p>
    <w:p w14:paraId="0A729210" w14:textId="0B442508" w:rsidR="00335FA4" w:rsidRPr="00FF1B22" w:rsidRDefault="00F652CE" w:rsidP="00B93B7F">
      <w:pPr>
        <w:autoSpaceDE w:val="0"/>
        <w:autoSpaceDN w:val="0"/>
        <w:adjustRightInd w:val="0"/>
        <w:ind w:left="360"/>
        <w:rPr>
          <w:rFonts w:ascii="Arial" w:hAnsi="Arial" w:cs="Arial"/>
          <w:b/>
          <w:bCs/>
          <w:sz w:val="20"/>
          <w:szCs w:val="24"/>
        </w:rPr>
      </w:pPr>
      <w:r w:rsidRPr="00FF1B22">
        <w:rPr>
          <w:rFonts w:ascii="Arial" w:hAnsi="Arial" w:cs="Arial"/>
          <w:b/>
          <w:bCs/>
          <w:sz w:val="20"/>
          <w:szCs w:val="24"/>
        </w:rPr>
        <w:t xml:space="preserve">Adjustments to non-GAAP measures shall only be made if the expected </w:t>
      </w:r>
      <w:r w:rsidR="0070535C">
        <w:rPr>
          <w:rFonts w:ascii="Arial" w:hAnsi="Arial" w:cs="Arial"/>
          <w:b/>
          <w:bCs/>
          <w:sz w:val="20"/>
          <w:szCs w:val="24"/>
        </w:rPr>
        <w:t xml:space="preserve">aggregate </w:t>
      </w:r>
      <w:r w:rsidRPr="00FF1B22">
        <w:rPr>
          <w:rFonts w:ascii="Arial" w:hAnsi="Arial" w:cs="Arial"/>
          <w:b/>
          <w:bCs/>
          <w:sz w:val="20"/>
          <w:szCs w:val="24"/>
        </w:rPr>
        <w:t>cost or income from th</w:t>
      </w:r>
      <w:r w:rsidR="009F26B4" w:rsidRPr="00FF1B22">
        <w:rPr>
          <w:rFonts w:ascii="Arial" w:hAnsi="Arial" w:cs="Arial"/>
          <w:b/>
          <w:bCs/>
          <w:sz w:val="20"/>
          <w:szCs w:val="24"/>
        </w:rPr>
        <w:t>e item being adjusted for is expected to be greater than $500,000.</w:t>
      </w:r>
    </w:p>
    <w:p w14:paraId="2E2CD3EB" w14:textId="77777777" w:rsidR="00335FA4" w:rsidRDefault="00335FA4" w:rsidP="00B93B7F">
      <w:pPr>
        <w:autoSpaceDE w:val="0"/>
        <w:autoSpaceDN w:val="0"/>
        <w:adjustRightInd w:val="0"/>
        <w:ind w:left="360"/>
        <w:rPr>
          <w:rFonts w:ascii="Arial" w:hAnsi="Arial" w:cs="Arial"/>
          <w:sz w:val="20"/>
          <w:szCs w:val="24"/>
        </w:rPr>
      </w:pPr>
    </w:p>
    <w:p w14:paraId="48F11D5A" w14:textId="3DF8E220" w:rsidR="009F26B4" w:rsidRPr="00FF1B22" w:rsidRDefault="009F26B4" w:rsidP="00B93B7F">
      <w:pPr>
        <w:autoSpaceDE w:val="0"/>
        <w:autoSpaceDN w:val="0"/>
        <w:adjustRightInd w:val="0"/>
        <w:ind w:left="360"/>
        <w:rPr>
          <w:rFonts w:ascii="Arial" w:hAnsi="Arial" w:cs="Arial"/>
          <w:b/>
          <w:bCs/>
          <w:i/>
          <w:iCs/>
          <w:sz w:val="20"/>
          <w:szCs w:val="24"/>
        </w:rPr>
      </w:pPr>
      <w:r>
        <w:rPr>
          <w:rFonts w:ascii="Arial" w:hAnsi="Arial" w:cs="Arial"/>
          <w:b/>
          <w:bCs/>
          <w:i/>
          <w:iCs/>
          <w:sz w:val="20"/>
          <w:szCs w:val="24"/>
        </w:rPr>
        <w:t>Approved Adjustments</w:t>
      </w:r>
    </w:p>
    <w:p w14:paraId="32F38465" w14:textId="4FEB38AC" w:rsidR="00B93B7F" w:rsidRPr="002623C5" w:rsidRDefault="00B93B7F" w:rsidP="00B93B7F">
      <w:pPr>
        <w:autoSpaceDE w:val="0"/>
        <w:autoSpaceDN w:val="0"/>
        <w:adjustRightInd w:val="0"/>
        <w:ind w:left="360"/>
        <w:rPr>
          <w:rFonts w:ascii="Arial" w:hAnsi="Arial" w:cs="Arial"/>
          <w:sz w:val="20"/>
          <w:szCs w:val="24"/>
        </w:rPr>
      </w:pPr>
      <w:r w:rsidRPr="002623C5">
        <w:rPr>
          <w:rFonts w:ascii="Arial" w:hAnsi="Arial" w:cs="Arial"/>
          <w:sz w:val="20"/>
          <w:szCs w:val="24"/>
        </w:rPr>
        <w:t>Th</w:t>
      </w:r>
      <w:r>
        <w:rPr>
          <w:rFonts w:ascii="Arial" w:hAnsi="Arial" w:cs="Arial"/>
          <w:sz w:val="20"/>
          <w:szCs w:val="24"/>
        </w:rPr>
        <w:t>is section includes a list and description of</w:t>
      </w:r>
      <w:r w:rsidRPr="002623C5">
        <w:rPr>
          <w:rFonts w:ascii="Arial" w:hAnsi="Arial" w:cs="Arial"/>
          <w:sz w:val="20"/>
          <w:szCs w:val="24"/>
        </w:rPr>
        <w:t xml:space="preserve"> Company approved adjustments to non-GAAP measures:</w:t>
      </w:r>
    </w:p>
    <w:p w14:paraId="432AE870" w14:textId="77777777" w:rsidR="00B93B7F" w:rsidRDefault="00B93B7F" w:rsidP="00B93B7F">
      <w:pPr>
        <w:autoSpaceDE w:val="0"/>
        <w:autoSpaceDN w:val="0"/>
        <w:adjustRightInd w:val="0"/>
        <w:ind w:left="360"/>
        <w:rPr>
          <w:rFonts w:ascii="Arial" w:hAnsi="Arial" w:cs="Arial"/>
          <w:sz w:val="20"/>
          <w:szCs w:val="24"/>
        </w:rPr>
      </w:pPr>
    </w:p>
    <w:p w14:paraId="6023F10B" w14:textId="77777777" w:rsidR="00B93B7F" w:rsidRDefault="00B93B7F" w:rsidP="00B93B7F">
      <w:pPr>
        <w:pStyle w:val="ListParagraph"/>
        <w:numPr>
          <w:ilvl w:val="0"/>
          <w:numId w:val="37"/>
        </w:numPr>
        <w:autoSpaceDE w:val="0"/>
        <w:autoSpaceDN w:val="0"/>
        <w:adjustRightInd w:val="0"/>
        <w:rPr>
          <w:rFonts w:ascii="Arial" w:hAnsi="Arial" w:cs="Arial"/>
          <w:sz w:val="20"/>
        </w:rPr>
      </w:pPr>
      <w:r>
        <w:rPr>
          <w:rFonts w:ascii="Arial" w:hAnsi="Arial" w:cs="Arial"/>
          <w:sz w:val="20"/>
        </w:rPr>
        <w:t>Non-cash equity compensation</w:t>
      </w:r>
    </w:p>
    <w:p w14:paraId="064E89E2" w14:textId="719C3675" w:rsidR="00B93B7F" w:rsidRDefault="00B75CDF" w:rsidP="00B93B7F">
      <w:pPr>
        <w:pStyle w:val="ListParagraph"/>
        <w:numPr>
          <w:ilvl w:val="0"/>
          <w:numId w:val="37"/>
        </w:numPr>
        <w:autoSpaceDE w:val="0"/>
        <w:autoSpaceDN w:val="0"/>
        <w:adjustRightInd w:val="0"/>
        <w:rPr>
          <w:rFonts w:ascii="Arial" w:hAnsi="Arial" w:cs="Arial"/>
          <w:sz w:val="20"/>
        </w:rPr>
      </w:pPr>
      <w:r>
        <w:rPr>
          <w:rFonts w:ascii="Arial" w:hAnsi="Arial" w:cs="Arial"/>
          <w:sz w:val="20"/>
        </w:rPr>
        <w:t xml:space="preserve">Restructuring </w:t>
      </w:r>
      <w:r w:rsidR="00FA3638">
        <w:rPr>
          <w:rFonts w:ascii="Arial" w:hAnsi="Arial" w:cs="Arial"/>
          <w:sz w:val="20"/>
        </w:rPr>
        <w:t>costs</w:t>
      </w:r>
    </w:p>
    <w:p w14:paraId="085CD4B8" w14:textId="3E94A89E" w:rsidR="00B93B7F" w:rsidRDefault="00B93B7F" w:rsidP="00B93B7F">
      <w:pPr>
        <w:pStyle w:val="ListParagraph"/>
        <w:numPr>
          <w:ilvl w:val="0"/>
          <w:numId w:val="37"/>
        </w:numPr>
        <w:autoSpaceDE w:val="0"/>
        <w:autoSpaceDN w:val="0"/>
        <w:adjustRightInd w:val="0"/>
        <w:rPr>
          <w:rFonts w:ascii="Arial" w:hAnsi="Arial" w:cs="Arial"/>
          <w:sz w:val="20"/>
        </w:rPr>
      </w:pPr>
      <w:r>
        <w:rPr>
          <w:rFonts w:ascii="Arial" w:hAnsi="Arial" w:cs="Arial"/>
          <w:sz w:val="20"/>
        </w:rPr>
        <w:t>Acquisition and</w:t>
      </w:r>
      <w:r w:rsidR="00A16CC0">
        <w:rPr>
          <w:rFonts w:ascii="Arial" w:hAnsi="Arial" w:cs="Arial"/>
          <w:sz w:val="20"/>
        </w:rPr>
        <w:t xml:space="preserve"> divestiture</w:t>
      </w:r>
      <w:r>
        <w:rPr>
          <w:rFonts w:ascii="Arial" w:hAnsi="Arial" w:cs="Arial"/>
          <w:sz w:val="20"/>
        </w:rPr>
        <w:t xml:space="preserve"> </w:t>
      </w:r>
      <w:r w:rsidR="00F022D8">
        <w:rPr>
          <w:rFonts w:ascii="Arial" w:hAnsi="Arial" w:cs="Arial"/>
          <w:sz w:val="20"/>
        </w:rPr>
        <w:t xml:space="preserve">related </w:t>
      </w:r>
      <w:r>
        <w:rPr>
          <w:rFonts w:ascii="Arial" w:hAnsi="Arial" w:cs="Arial"/>
          <w:sz w:val="20"/>
        </w:rPr>
        <w:t>costs</w:t>
      </w:r>
    </w:p>
    <w:p w14:paraId="4A1AA193" w14:textId="29B9AA3A" w:rsidR="00A16CC0" w:rsidRDefault="00A16CC0" w:rsidP="00B93B7F">
      <w:pPr>
        <w:pStyle w:val="ListParagraph"/>
        <w:numPr>
          <w:ilvl w:val="0"/>
          <w:numId w:val="37"/>
        </w:numPr>
        <w:autoSpaceDE w:val="0"/>
        <w:autoSpaceDN w:val="0"/>
        <w:adjustRightInd w:val="0"/>
        <w:rPr>
          <w:rFonts w:ascii="Arial" w:hAnsi="Arial" w:cs="Arial"/>
          <w:sz w:val="20"/>
        </w:rPr>
      </w:pPr>
      <w:r>
        <w:rPr>
          <w:rFonts w:ascii="Arial" w:hAnsi="Arial" w:cs="Arial"/>
          <w:sz w:val="20"/>
        </w:rPr>
        <w:t>Certain shareholder litigation costs</w:t>
      </w:r>
    </w:p>
    <w:p w14:paraId="730DC0DC" w14:textId="77777777" w:rsidR="00B93B7F" w:rsidRPr="002623C5" w:rsidRDefault="00B93B7F" w:rsidP="00B93B7F">
      <w:pPr>
        <w:pStyle w:val="ListParagraph"/>
        <w:numPr>
          <w:ilvl w:val="0"/>
          <w:numId w:val="37"/>
        </w:numPr>
        <w:autoSpaceDE w:val="0"/>
        <w:autoSpaceDN w:val="0"/>
        <w:adjustRightInd w:val="0"/>
        <w:rPr>
          <w:rFonts w:ascii="Arial" w:hAnsi="Arial" w:cs="Arial"/>
          <w:sz w:val="20"/>
        </w:rPr>
      </w:pPr>
      <w:r w:rsidRPr="002623C5">
        <w:rPr>
          <w:rFonts w:ascii="Arial" w:hAnsi="Arial" w:cs="Arial"/>
          <w:sz w:val="20"/>
        </w:rPr>
        <w:t>Impairments</w:t>
      </w:r>
    </w:p>
    <w:p w14:paraId="3BF6EA37" w14:textId="10E21B8C" w:rsidR="007C1977" w:rsidRPr="0052724D" w:rsidRDefault="00052802" w:rsidP="00B93B7F">
      <w:pPr>
        <w:pStyle w:val="ListParagraph"/>
        <w:numPr>
          <w:ilvl w:val="0"/>
          <w:numId w:val="37"/>
        </w:numPr>
        <w:autoSpaceDE w:val="0"/>
        <w:autoSpaceDN w:val="0"/>
        <w:adjustRightInd w:val="0"/>
        <w:rPr>
          <w:rFonts w:ascii="Arial" w:hAnsi="Arial" w:cs="Arial"/>
          <w:sz w:val="20"/>
          <w:szCs w:val="20"/>
        </w:rPr>
      </w:pPr>
      <w:r>
        <w:rPr>
          <w:rFonts w:ascii="Arial" w:hAnsi="Arial" w:cs="Arial"/>
          <w:color w:val="000000"/>
          <w:sz w:val="20"/>
          <w:szCs w:val="20"/>
        </w:rPr>
        <w:t>Debt refinancing</w:t>
      </w:r>
    </w:p>
    <w:p w14:paraId="03F2C305" w14:textId="39582CE8" w:rsidR="00052802" w:rsidRPr="00BC2913" w:rsidRDefault="00052802" w:rsidP="00B93B7F">
      <w:pPr>
        <w:pStyle w:val="ListParagraph"/>
        <w:numPr>
          <w:ilvl w:val="0"/>
          <w:numId w:val="37"/>
        </w:numPr>
        <w:autoSpaceDE w:val="0"/>
        <w:autoSpaceDN w:val="0"/>
        <w:adjustRightInd w:val="0"/>
        <w:rPr>
          <w:rFonts w:ascii="Arial" w:hAnsi="Arial" w:cs="Arial"/>
          <w:sz w:val="20"/>
          <w:szCs w:val="20"/>
        </w:rPr>
      </w:pPr>
      <w:r>
        <w:rPr>
          <w:rFonts w:ascii="Arial" w:hAnsi="Arial" w:cs="Arial"/>
          <w:color w:val="000000"/>
          <w:sz w:val="20"/>
          <w:szCs w:val="20"/>
        </w:rPr>
        <w:t>Loss on extinguishment of debt</w:t>
      </w:r>
    </w:p>
    <w:p w14:paraId="613B87FB" w14:textId="03FEC65C" w:rsidR="00BC2913" w:rsidRPr="005323FA" w:rsidRDefault="00BC2913" w:rsidP="00B93B7F">
      <w:pPr>
        <w:pStyle w:val="ListParagraph"/>
        <w:numPr>
          <w:ilvl w:val="0"/>
          <w:numId w:val="37"/>
        </w:numPr>
        <w:autoSpaceDE w:val="0"/>
        <w:autoSpaceDN w:val="0"/>
        <w:adjustRightInd w:val="0"/>
        <w:rPr>
          <w:rFonts w:ascii="Arial" w:hAnsi="Arial" w:cs="Arial"/>
          <w:sz w:val="20"/>
          <w:szCs w:val="20"/>
        </w:rPr>
      </w:pPr>
      <w:r>
        <w:rPr>
          <w:rFonts w:ascii="Arial" w:hAnsi="Arial" w:cs="Arial"/>
          <w:color w:val="000000"/>
          <w:sz w:val="20"/>
          <w:szCs w:val="20"/>
        </w:rPr>
        <w:t>Loss on disposal of a business</w:t>
      </w:r>
    </w:p>
    <w:p w14:paraId="06A55D77" w14:textId="77777777" w:rsidR="00B93B7F" w:rsidRDefault="00B93B7F" w:rsidP="00B93B7F">
      <w:pPr>
        <w:pStyle w:val="ListParagraph"/>
        <w:numPr>
          <w:ilvl w:val="0"/>
          <w:numId w:val="37"/>
        </w:numPr>
        <w:autoSpaceDE w:val="0"/>
        <w:autoSpaceDN w:val="0"/>
        <w:adjustRightInd w:val="0"/>
        <w:rPr>
          <w:rFonts w:ascii="Arial" w:hAnsi="Arial" w:cs="Arial"/>
          <w:sz w:val="20"/>
        </w:rPr>
      </w:pPr>
      <w:r>
        <w:rPr>
          <w:rFonts w:ascii="Arial" w:hAnsi="Arial" w:cs="Arial"/>
          <w:sz w:val="20"/>
        </w:rPr>
        <w:t xml:space="preserve">Other </w:t>
      </w:r>
      <w:r w:rsidRPr="00F2224A">
        <w:rPr>
          <w:rFonts w:ascii="Arial" w:hAnsi="Arial" w:cs="Arial"/>
          <w:sz w:val="20"/>
        </w:rPr>
        <w:t>costs</w:t>
      </w:r>
    </w:p>
    <w:p w14:paraId="5BD0A2EF" w14:textId="602433E2" w:rsidR="00662CB5" w:rsidRPr="00611FCE" w:rsidRDefault="001C035D" w:rsidP="00B93B7F">
      <w:pPr>
        <w:pStyle w:val="ListParagraph"/>
        <w:numPr>
          <w:ilvl w:val="0"/>
          <w:numId w:val="37"/>
        </w:numPr>
        <w:autoSpaceDE w:val="0"/>
        <w:autoSpaceDN w:val="0"/>
        <w:adjustRightInd w:val="0"/>
        <w:rPr>
          <w:rFonts w:ascii="Arial" w:hAnsi="Arial" w:cs="Arial"/>
          <w:sz w:val="20"/>
        </w:rPr>
      </w:pPr>
      <w:r>
        <w:rPr>
          <w:rFonts w:ascii="Arial" w:hAnsi="Arial" w:cs="Arial"/>
          <w:sz w:val="20"/>
        </w:rPr>
        <w:t>Discrete tax items</w:t>
      </w:r>
    </w:p>
    <w:p w14:paraId="591ABF52" w14:textId="77777777" w:rsidR="00B93B7F" w:rsidRDefault="00B93B7F" w:rsidP="00F1236B">
      <w:pPr>
        <w:autoSpaceDE w:val="0"/>
        <w:autoSpaceDN w:val="0"/>
        <w:adjustRightInd w:val="0"/>
        <w:ind w:left="360"/>
        <w:rPr>
          <w:rFonts w:ascii="Arial" w:hAnsi="Arial" w:cs="Arial"/>
          <w:sz w:val="20"/>
          <w:szCs w:val="24"/>
        </w:rPr>
      </w:pPr>
    </w:p>
    <w:p w14:paraId="7748E7F0" w14:textId="0B257AF6" w:rsidR="001F7F00" w:rsidRPr="00663069" w:rsidRDefault="001F7F00" w:rsidP="0093197C">
      <w:pPr>
        <w:autoSpaceDE w:val="0"/>
        <w:autoSpaceDN w:val="0"/>
        <w:adjustRightInd w:val="0"/>
        <w:ind w:left="360"/>
        <w:rPr>
          <w:rFonts w:ascii="Arial" w:hAnsi="Arial" w:cs="Arial"/>
          <w:sz w:val="20"/>
          <w:szCs w:val="24"/>
          <w:u w:val="single"/>
        </w:rPr>
      </w:pPr>
      <w:r w:rsidRPr="00663069">
        <w:rPr>
          <w:rFonts w:ascii="Arial" w:hAnsi="Arial" w:cs="Arial"/>
          <w:sz w:val="20"/>
          <w:szCs w:val="24"/>
          <w:u w:val="single"/>
        </w:rPr>
        <w:t>Non-cash Equity Compensation</w:t>
      </w:r>
    </w:p>
    <w:p w14:paraId="42F6E204" w14:textId="0D06AD14" w:rsidR="001F7F00" w:rsidRPr="00611FCE" w:rsidRDefault="001F7F00" w:rsidP="0093197C">
      <w:pPr>
        <w:autoSpaceDE w:val="0"/>
        <w:autoSpaceDN w:val="0"/>
        <w:adjustRightInd w:val="0"/>
        <w:ind w:left="360"/>
        <w:rPr>
          <w:rFonts w:ascii="Arial" w:hAnsi="Arial" w:cs="Arial"/>
          <w:sz w:val="20"/>
          <w:szCs w:val="24"/>
        </w:rPr>
      </w:pPr>
      <w:r>
        <w:rPr>
          <w:rFonts w:ascii="Arial" w:hAnsi="Arial" w:cs="Arial"/>
          <w:sz w:val="20"/>
          <w:szCs w:val="24"/>
        </w:rPr>
        <w:t>Includes compensation expense</w:t>
      </w:r>
      <w:r w:rsidRPr="00611FCE">
        <w:rPr>
          <w:rFonts w:ascii="Arial" w:hAnsi="Arial" w:cs="Arial"/>
          <w:sz w:val="20"/>
          <w:szCs w:val="24"/>
        </w:rPr>
        <w:t xml:space="preserve"> from </w:t>
      </w:r>
      <w:r>
        <w:rPr>
          <w:rFonts w:ascii="Arial" w:hAnsi="Arial" w:cs="Arial"/>
          <w:sz w:val="20"/>
          <w:szCs w:val="24"/>
        </w:rPr>
        <w:t xml:space="preserve">the Company’s </w:t>
      </w:r>
      <w:r w:rsidRPr="00611FCE">
        <w:rPr>
          <w:rFonts w:ascii="Arial" w:hAnsi="Arial" w:cs="Arial"/>
          <w:sz w:val="20"/>
          <w:szCs w:val="24"/>
        </w:rPr>
        <w:t>equity-based compensation plans</w:t>
      </w:r>
      <w:r w:rsidR="00B93B7F">
        <w:rPr>
          <w:rFonts w:ascii="Arial" w:hAnsi="Arial" w:cs="Arial"/>
          <w:sz w:val="20"/>
          <w:szCs w:val="24"/>
        </w:rPr>
        <w:t>.</w:t>
      </w:r>
    </w:p>
    <w:p w14:paraId="64EDC9E6" w14:textId="427F5F32" w:rsidR="001F7F00" w:rsidRPr="00611FCE" w:rsidRDefault="001F7F00" w:rsidP="00C96CD5">
      <w:pPr>
        <w:autoSpaceDE w:val="0"/>
        <w:autoSpaceDN w:val="0"/>
        <w:adjustRightInd w:val="0"/>
        <w:ind w:left="360"/>
        <w:rPr>
          <w:rFonts w:ascii="Arial" w:hAnsi="Arial" w:cs="Arial"/>
          <w:sz w:val="20"/>
          <w:szCs w:val="24"/>
        </w:rPr>
      </w:pPr>
    </w:p>
    <w:p w14:paraId="341D6C8D" w14:textId="490DB005" w:rsidR="00FD6B26" w:rsidRPr="00E3513C" w:rsidRDefault="00AA6D7A" w:rsidP="00FD6B26">
      <w:pPr>
        <w:autoSpaceDE w:val="0"/>
        <w:autoSpaceDN w:val="0"/>
        <w:adjustRightInd w:val="0"/>
        <w:ind w:left="360"/>
        <w:rPr>
          <w:rFonts w:ascii="Arial" w:hAnsi="Arial" w:cs="Arial"/>
          <w:sz w:val="20"/>
          <w:szCs w:val="24"/>
          <w:u w:val="single"/>
        </w:rPr>
      </w:pPr>
      <w:r>
        <w:rPr>
          <w:rFonts w:ascii="Arial" w:hAnsi="Arial" w:cs="Arial"/>
          <w:sz w:val="20"/>
          <w:szCs w:val="24"/>
          <w:u w:val="single"/>
        </w:rPr>
        <w:t xml:space="preserve">Restructuring </w:t>
      </w:r>
      <w:r w:rsidR="00FA3638">
        <w:rPr>
          <w:rFonts w:ascii="Arial" w:hAnsi="Arial" w:cs="Arial"/>
          <w:sz w:val="20"/>
          <w:szCs w:val="24"/>
          <w:u w:val="single"/>
        </w:rPr>
        <w:t>Costs</w:t>
      </w:r>
    </w:p>
    <w:p w14:paraId="1E53C536" w14:textId="77777777" w:rsidR="00AA6D7A" w:rsidRPr="00611FCE" w:rsidRDefault="00AA6D7A" w:rsidP="00AA6D7A">
      <w:pPr>
        <w:autoSpaceDE w:val="0"/>
        <w:autoSpaceDN w:val="0"/>
        <w:adjustRightInd w:val="0"/>
        <w:ind w:left="360"/>
        <w:rPr>
          <w:rFonts w:ascii="Arial" w:hAnsi="Arial" w:cs="Arial"/>
          <w:sz w:val="20"/>
          <w:szCs w:val="24"/>
        </w:rPr>
      </w:pPr>
      <w:r>
        <w:rPr>
          <w:rFonts w:ascii="Arial" w:hAnsi="Arial" w:cs="Arial"/>
          <w:sz w:val="20"/>
          <w:szCs w:val="24"/>
        </w:rPr>
        <w:t xml:space="preserve">Includes expenses </w:t>
      </w:r>
      <w:r w:rsidRPr="00611FCE">
        <w:rPr>
          <w:rFonts w:ascii="Arial" w:hAnsi="Arial" w:cs="Arial"/>
          <w:sz w:val="20"/>
          <w:szCs w:val="24"/>
        </w:rPr>
        <w:t xml:space="preserve">associated with a plan to </w:t>
      </w:r>
      <w:r>
        <w:rPr>
          <w:rFonts w:ascii="Arial" w:hAnsi="Arial" w:cs="Arial"/>
          <w:sz w:val="20"/>
          <w:szCs w:val="24"/>
        </w:rPr>
        <w:t>stop</w:t>
      </w:r>
      <w:r w:rsidRPr="00611FCE">
        <w:rPr>
          <w:rFonts w:ascii="Arial" w:hAnsi="Arial" w:cs="Arial"/>
          <w:sz w:val="20"/>
          <w:szCs w:val="24"/>
        </w:rPr>
        <w:t xml:space="preserve"> sell</w:t>
      </w:r>
      <w:r>
        <w:rPr>
          <w:rFonts w:ascii="Arial" w:hAnsi="Arial" w:cs="Arial"/>
          <w:sz w:val="20"/>
          <w:szCs w:val="24"/>
        </w:rPr>
        <w:t>ing</w:t>
      </w:r>
      <w:r w:rsidRPr="00611FCE">
        <w:rPr>
          <w:rFonts w:ascii="Arial" w:hAnsi="Arial" w:cs="Arial"/>
          <w:sz w:val="20"/>
          <w:szCs w:val="24"/>
        </w:rPr>
        <w:t xml:space="preserve"> a product</w:t>
      </w:r>
      <w:r>
        <w:rPr>
          <w:rFonts w:ascii="Arial" w:hAnsi="Arial" w:cs="Arial"/>
          <w:sz w:val="20"/>
          <w:szCs w:val="24"/>
        </w:rPr>
        <w:t xml:space="preserve"> or other qualifying plan recognized as restructuring under U.S. GAAP (includes severance). </w:t>
      </w:r>
    </w:p>
    <w:p w14:paraId="4D7B5B9E" w14:textId="77777777" w:rsidR="00AA6D7A" w:rsidRDefault="00AA6D7A" w:rsidP="00FD6B26">
      <w:pPr>
        <w:autoSpaceDE w:val="0"/>
        <w:autoSpaceDN w:val="0"/>
        <w:adjustRightInd w:val="0"/>
        <w:ind w:left="360"/>
        <w:rPr>
          <w:rFonts w:ascii="Arial" w:hAnsi="Arial" w:cs="Arial"/>
          <w:sz w:val="20"/>
          <w:szCs w:val="24"/>
        </w:rPr>
      </w:pPr>
    </w:p>
    <w:p w14:paraId="67DA3BA1" w14:textId="10AEC8C4" w:rsidR="00FD6B26" w:rsidRPr="00611FCE" w:rsidRDefault="00FD6B26" w:rsidP="00FD6B26">
      <w:pPr>
        <w:autoSpaceDE w:val="0"/>
        <w:autoSpaceDN w:val="0"/>
        <w:adjustRightInd w:val="0"/>
        <w:ind w:left="360"/>
        <w:rPr>
          <w:rFonts w:ascii="Arial" w:hAnsi="Arial" w:cs="Arial"/>
          <w:sz w:val="20"/>
          <w:szCs w:val="24"/>
        </w:rPr>
      </w:pPr>
      <w:r>
        <w:rPr>
          <w:rFonts w:ascii="Arial" w:hAnsi="Arial" w:cs="Arial"/>
          <w:sz w:val="20"/>
          <w:szCs w:val="24"/>
        </w:rPr>
        <w:t xml:space="preserve">Includes </w:t>
      </w:r>
      <w:r w:rsidRPr="00C84003">
        <w:rPr>
          <w:rFonts w:ascii="Arial" w:hAnsi="Arial" w:cs="Arial"/>
          <w:sz w:val="20"/>
          <w:szCs w:val="24"/>
        </w:rPr>
        <w:t>incremental expenses related to succession/transition charges of the Executive Leadership Team (“ELT”)</w:t>
      </w:r>
      <w:r w:rsidR="0098207A" w:rsidRPr="00C84003">
        <w:rPr>
          <w:rFonts w:ascii="Arial" w:hAnsi="Arial" w:cs="Arial"/>
          <w:sz w:val="20"/>
          <w:szCs w:val="24"/>
        </w:rPr>
        <w:t xml:space="preserve"> </w:t>
      </w:r>
      <w:r w:rsidR="00DE6650" w:rsidRPr="00C84003">
        <w:rPr>
          <w:rFonts w:ascii="Arial" w:hAnsi="Arial" w:cs="Arial"/>
          <w:sz w:val="20"/>
        </w:rPr>
        <w:t xml:space="preserve">that is part of a restructuring event (e.g., workforce reduction, facility closures or relocations, </w:t>
      </w:r>
      <w:r w:rsidR="002D2EC2">
        <w:rPr>
          <w:rFonts w:ascii="Arial" w:hAnsi="Arial" w:cs="Arial"/>
          <w:sz w:val="20"/>
        </w:rPr>
        <w:t xml:space="preserve">corporate restructuring, </w:t>
      </w:r>
      <w:r w:rsidR="00DE6650" w:rsidRPr="00C84003">
        <w:rPr>
          <w:rFonts w:ascii="Arial" w:hAnsi="Arial" w:cs="Arial"/>
          <w:sz w:val="20"/>
        </w:rPr>
        <w:t>other cost reduction initiatives)</w:t>
      </w:r>
      <w:r w:rsidR="00DE6650" w:rsidRPr="00C84003">
        <w:rPr>
          <w:rFonts w:ascii="Arial" w:hAnsi="Arial" w:cs="Arial"/>
          <w:sz w:val="20"/>
          <w:szCs w:val="24"/>
        </w:rPr>
        <w:t xml:space="preserve">.  </w:t>
      </w:r>
      <w:r w:rsidRPr="00C84003">
        <w:rPr>
          <w:rFonts w:ascii="Arial" w:hAnsi="Arial" w:cs="Arial"/>
          <w:sz w:val="20"/>
          <w:szCs w:val="24"/>
        </w:rPr>
        <w:t>The “ELT</w:t>
      </w:r>
      <w:r>
        <w:rPr>
          <w:rFonts w:ascii="Arial" w:hAnsi="Arial" w:cs="Arial"/>
          <w:sz w:val="20"/>
          <w:szCs w:val="24"/>
        </w:rPr>
        <w:t>” is the CEO and its direct reports.</w:t>
      </w:r>
    </w:p>
    <w:p w14:paraId="3A2E8A99" w14:textId="77777777" w:rsidR="00FD6B26" w:rsidRDefault="00FD6B26" w:rsidP="00FD6B26">
      <w:pPr>
        <w:autoSpaceDE w:val="0"/>
        <w:autoSpaceDN w:val="0"/>
        <w:adjustRightInd w:val="0"/>
        <w:ind w:left="360"/>
        <w:rPr>
          <w:rFonts w:ascii="Arial" w:hAnsi="Arial" w:cs="Arial"/>
          <w:sz w:val="20"/>
          <w:szCs w:val="24"/>
        </w:rPr>
      </w:pPr>
    </w:p>
    <w:p w14:paraId="000EA01D" w14:textId="56D8F223" w:rsidR="00FD6B26" w:rsidRDefault="00FD6B26" w:rsidP="00FD6B26">
      <w:pPr>
        <w:autoSpaceDE w:val="0"/>
        <w:autoSpaceDN w:val="0"/>
        <w:adjustRightInd w:val="0"/>
        <w:ind w:left="360"/>
        <w:rPr>
          <w:rFonts w:ascii="Arial" w:hAnsi="Arial" w:cs="Arial"/>
          <w:sz w:val="20"/>
        </w:rPr>
      </w:pPr>
      <w:r>
        <w:rPr>
          <w:rFonts w:ascii="Arial" w:hAnsi="Arial" w:cs="Arial"/>
          <w:sz w:val="20"/>
          <w:u w:val="single"/>
        </w:rPr>
        <w:t xml:space="preserve">Acquisition and </w:t>
      </w:r>
      <w:r w:rsidR="001732CB">
        <w:rPr>
          <w:rFonts w:ascii="Arial" w:hAnsi="Arial" w:cs="Arial"/>
          <w:sz w:val="20"/>
          <w:u w:val="single"/>
        </w:rPr>
        <w:t xml:space="preserve">Divestiture </w:t>
      </w:r>
      <w:r w:rsidR="00F022D8">
        <w:rPr>
          <w:rFonts w:ascii="Arial" w:hAnsi="Arial" w:cs="Arial"/>
          <w:sz w:val="20"/>
          <w:u w:val="single"/>
        </w:rPr>
        <w:t xml:space="preserve">Related </w:t>
      </w:r>
      <w:r>
        <w:rPr>
          <w:rFonts w:ascii="Arial" w:hAnsi="Arial" w:cs="Arial"/>
          <w:sz w:val="20"/>
          <w:u w:val="single"/>
        </w:rPr>
        <w:t>Costs</w:t>
      </w:r>
    </w:p>
    <w:p w14:paraId="4C21323B" w14:textId="03D97BD1" w:rsidR="00FD6B26" w:rsidRDefault="000558A3" w:rsidP="00FD6B26">
      <w:pPr>
        <w:autoSpaceDE w:val="0"/>
        <w:autoSpaceDN w:val="0"/>
        <w:adjustRightInd w:val="0"/>
        <w:ind w:left="360"/>
        <w:rPr>
          <w:rFonts w:ascii="Arial" w:hAnsi="Arial" w:cs="Arial"/>
          <w:sz w:val="20"/>
        </w:rPr>
      </w:pPr>
      <w:r w:rsidRPr="000558A3">
        <w:rPr>
          <w:rFonts w:ascii="Arial" w:hAnsi="Arial" w:cs="Arial"/>
          <w:sz w:val="20"/>
        </w:rPr>
        <w:lastRenderedPageBreak/>
        <w:t>Includes acquisition and integration costs related to completed acquisitions and changes in fair value of contingent consideration</w:t>
      </w:r>
      <w:r w:rsidR="00201220">
        <w:rPr>
          <w:rFonts w:ascii="Arial" w:hAnsi="Arial" w:cs="Arial"/>
          <w:sz w:val="20"/>
        </w:rPr>
        <w:t>.</w:t>
      </w:r>
    </w:p>
    <w:p w14:paraId="3090D608" w14:textId="77777777" w:rsidR="00FD6B26" w:rsidRDefault="00FD6B26" w:rsidP="00FD6B26">
      <w:pPr>
        <w:autoSpaceDE w:val="0"/>
        <w:autoSpaceDN w:val="0"/>
        <w:adjustRightInd w:val="0"/>
        <w:ind w:left="360"/>
        <w:rPr>
          <w:rFonts w:ascii="Arial" w:hAnsi="Arial" w:cs="Arial"/>
          <w:sz w:val="20"/>
        </w:rPr>
      </w:pPr>
    </w:p>
    <w:p w14:paraId="0EE5FC05" w14:textId="66FAF31C" w:rsidR="000558A3" w:rsidRPr="0052724D" w:rsidRDefault="000558A3" w:rsidP="00FD6B26">
      <w:pPr>
        <w:autoSpaceDE w:val="0"/>
        <w:autoSpaceDN w:val="0"/>
        <w:adjustRightInd w:val="0"/>
        <w:ind w:left="360"/>
        <w:rPr>
          <w:rFonts w:ascii="Arial" w:hAnsi="Arial" w:cs="Arial"/>
          <w:sz w:val="20"/>
          <w:u w:val="single"/>
        </w:rPr>
      </w:pPr>
      <w:r w:rsidRPr="0052724D">
        <w:rPr>
          <w:rFonts w:ascii="Arial" w:hAnsi="Arial" w:cs="Arial"/>
          <w:sz w:val="20"/>
          <w:u w:val="single"/>
        </w:rPr>
        <w:t>Certain Shareholder Litigation Costs</w:t>
      </w:r>
    </w:p>
    <w:p w14:paraId="16B7113A" w14:textId="77777777" w:rsidR="00325261" w:rsidRDefault="00325261" w:rsidP="00FD6B26">
      <w:pPr>
        <w:autoSpaceDE w:val="0"/>
        <w:autoSpaceDN w:val="0"/>
        <w:adjustRightInd w:val="0"/>
        <w:ind w:left="360"/>
        <w:rPr>
          <w:rFonts w:ascii="Arial" w:hAnsi="Arial" w:cs="Arial"/>
          <w:sz w:val="20"/>
        </w:rPr>
      </w:pPr>
    </w:p>
    <w:p w14:paraId="1DB65024" w14:textId="71383456" w:rsidR="000558A3" w:rsidRDefault="00325261" w:rsidP="00FD6B26">
      <w:pPr>
        <w:autoSpaceDE w:val="0"/>
        <w:autoSpaceDN w:val="0"/>
        <w:adjustRightInd w:val="0"/>
        <w:ind w:left="360"/>
        <w:rPr>
          <w:rFonts w:ascii="Arial" w:hAnsi="Arial" w:cs="Arial"/>
          <w:sz w:val="20"/>
        </w:rPr>
      </w:pPr>
      <w:r>
        <w:rPr>
          <w:rFonts w:ascii="Arial" w:hAnsi="Arial" w:cs="Arial"/>
          <w:sz w:val="20"/>
        </w:rPr>
        <w:t>Costs incurred as a result of certain shareholder litigation unrelated to our ongoing operations.</w:t>
      </w:r>
    </w:p>
    <w:p w14:paraId="2BC9B98E" w14:textId="77777777" w:rsidR="000558A3" w:rsidRPr="00C8141E" w:rsidRDefault="000558A3" w:rsidP="00FD6B26">
      <w:pPr>
        <w:autoSpaceDE w:val="0"/>
        <w:autoSpaceDN w:val="0"/>
        <w:adjustRightInd w:val="0"/>
        <w:ind w:left="360"/>
        <w:rPr>
          <w:rFonts w:ascii="Arial" w:hAnsi="Arial" w:cs="Arial"/>
          <w:sz w:val="20"/>
        </w:rPr>
      </w:pPr>
    </w:p>
    <w:p w14:paraId="18F897F5" w14:textId="77777777" w:rsidR="00FD6B26" w:rsidRPr="006112D9" w:rsidRDefault="00FD6B26" w:rsidP="00FD6B26">
      <w:pPr>
        <w:autoSpaceDE w:val="0"/>
        <w:autoSpaceDN w:val="0"/>
        <w:adjustRightInd w:val="0"/>
        <w:ind w:left="360"/>
        <w:rPr>
          <w:rFonts w:ascii="Arial" w:hAnsi="Arial" w:cs="Arial"/>
          <w:sz w:val="20"/>
          <w:u w:val="single"/>
        </w:rPr>
      </w:pPr>
      <w:r>
        <w:rPr>
          <w:rFonts w:ascii="Arial" w:hAnsi="Arial" w:cs="Arial"/>
          <w:sz w:val="20"/>
          <w:u w:val="single"/>
        </w:rPr>
        <w:t>Impairment</w:t>
      </w:r>
    </w:p>
    <w:p w14:paraId="13EA5046" w14:textId="797E56A4" w:rsidR="00FD6B26" w:rsidRPr="00611FCE" w:rsidRDefault="00FD6B26" w:rsidP="00FD6B26">
      <w:pPr>
        <w:autoSpaceDE w:val="0"/>
        <w:autoSpaceDN w:val="0"/>
        <w:adjustRightInd w:val="0"/>
        <w:ind w:left="360"/>
        <w:rPr>
          <w:rFonts w:ascii="Arial" w:hAnsi="Arial" w:cs="Arial"/>
          <w:sz w:val="20"/>
          <w:szCs w:val="24"/>
        </w:rPr>
      </w:pPr>
      <w:r>
        <w:rPr>
          <w:rFonts w:ascii="Arial" w:hAnsi="Arial" w:cs="Arial"/>
          <w:sz w:val="20"/>
          <w:szCs w:val="24"/>
        </w:rPr>
        <w:t>Includes</w:t>
      </w:r>
      <w:r w:rsidRPr="00611FCE">
        <w:rPr>
          <w:rFonts w:ascii="Arial" w:hAnsi="Arial" w:cs="Arial"/>
          <w:sz w:val="20"/>
          <w:szCs w:val="24"/>
        </w:rPr>
        <w:t xml:space="preserve"> </w:t>
      </w:r>
      <w:r>
        <w:rPr>
          <w:rFonts w:ascii="Arial" w:hAnsi="Arial" w:cs="Arial"/>
          <w:sz w:val="20"/>
          <w:szCs w:val="24"/>
        </w:rPr>
        <w:t>losses on impairments of intangible asset</w:t>
      </w:r>
      <w:r w:rsidR="000C4619">
        <w:rPr>
          <w:rFonts w:ascii="Arial" w:hAnsi="Arial" w:cs="Arial"/>
          <w:sz w:val="20"/>
          <w:szCs w:val="24"/>
        </w:rPr>
        <w:t>s, goodwill, and other assets.</w:t>
      </w:r>
    </w:p>
    <w:p w14:paraId="1F163EBC" w14:textId="77777777" w:rsidR="00FD6B26" w:rsidRDefault="00FD6B26" w:rsidP="00FD6B26">
      <w:pPr>
        <w:autoSpaceDE w:val="0"/>
        <w:autoSpaceDN w:val="0"/>
        <w:adjustRightInd w:val="0"/>
        <w:ind w:left="360"/>
        <w:rPr>
          <w:rFonts w:ascii="Arial" w:hAnsi="Arial" w:cs="Arial"/>
          <w:sz w:val="20"/>
          <w:szCs w:val="24"/>
        </w:rPr>
      </w:pPr>
    </w:p>
    <w:p w14:paraId="337179B4" w14:textId="496FC51C" w:rsidR="00FD6B26" w:rsidRPr="002623C5" w:rsidRDefault="00052802" w:rsidP="00FD6B26">
      <w:pPr>
        <w:autoSpaceDE w:val="0"/>
        <w:autoSpaceDN w:val="0"/>
        <w:adjustRightInd w:val="0"/>
        <w:ind w:left="360"/>
        <w:rPr>
          <w:rFonts w:ascii="Arial" w:hAnsi="Arial" w:cs="Arial"/>
          <w:color w:val="000000"/>
          <w:sz w:val="20"/>
          <w:u w:val="single"/>
        </w:rPr>
      </w:pPr>
      <w:r>
        <w:rPr>
          <w:rFonts w:ascii="Arial" w:hAnsi="Arial" w:cs="Arial"/>
          <w:sz w:val="20"/>
          <w:u w:val="single"/>
        </w:rPr>
        <w:t xml:space="preserve">Debt </w:t>
      </w:r>
      <w:r w:rsidR="001732CB">
        <w:rPr>
          <w:rFonts w:ascii="Arial" w:hAnsi="Arial" w:cs="Arial"/>
          <w:sz w:val="20"/>
          <w:u w:val="single"/>
        </w:rPr>
        <w:t>R</w:t>
      </w:r>
      <w:r>
        <w:rPr>
          <w:rFonts w:ascii="Arial" w:hAnsi="Arial" w:cs="Arial"/>
          <w:sz w:val="20"/>
          <w:u w:val="single"/>
        </w:rPr>
        <w:t>efinancing</w:t>
      </w:r>
    </w:p>
    <w:p w14:paraId="2356CC34" w14:textId="5FE9A840" w:rsidR="00FD6B26" w:rsidRDefault="00FD6B26" w:rsidP="00FD6B26">
      <w:pPr>
        <w:autoSpaceDE w:val="0"/>
        <w:autoSpaceDN w:val="0"/>
        <w:adjustRightInd w:val="0"/>
        <w:ind w:left="360"/>
        <w:rPr>
          <w:rFonts w:ascii="Arial" w:hAnsi="Arial" w:cs="Arial"/>
          <w:sz w:val="20"/>
          <w:szCs w:val="24"/>
        </w:rPr>
      </w:pPr>
      <w:r>
        <w:rPr>
          <w:rFonts w:ascii="Arial" w:hAnsi="Arial" w:cs="Arial"/>
          <w:sz w:val="20"/>
          <w:szCs w:val="24"/>
        </w:rPr>
        <w:t xml:space="preserve">Includes </w:t>
      </w:r>
      <w:r w:rsidR="00BC07A2">
        <w:rPr>
          <w:rFonts w:ascii="Arial" w:hAnsi="Arial" w:cs="Arial"/>
          <w:sz w:val="20"/>
          <w:szCs w:val="24"/>
        </w:rPr>
        <w:t>advisory fees and debt amendment related costs</w:t>
      </w:r>
      <w:r w:rsidR="005C3F59">
        <w:rPr>
          <w:rFonts w:ascii="Arial" w:hAnsi="Arial" w:cs="Arial"/>
          <w:sz w:val="20"/>
          <w:szCs w:val="24"/>
        </w:rPr>
        <w:t>, and third-party fees</w:t>
      </w:r>
    </w:p>
    <w:p w14:paraId="53E4AA40" w14:textId="77777777" w:rsidR="00FD6B26" w:rsidRDefault="00FD6B26" w:rsidP="00FD6B26">
      <w:pPr>
        <w:autoSpaceDE w:val="0"/>
        <w:autoSpaceDN w:val="0"/>
        <w:adjustRightInd w:val="0"/>
        <w:ind w:left="360"/>
        <w:rPr>
          <w:rFonts w:ascii="Arial" w:hAnsi="Arial" w:cs="Arial"/>
          <w:sz w:val="20"/>
        </w:rPr>
      </w:pPr>
    </w:p>
    <w:p w14:paraId="43C177F4" w14:textId="50267F02" w:rsidR="001732CB" w:rsidRPr="0052724D" w:rsidRDefault="001732CB" w:rsidP="00FD6B26">
      <w:pPr>
        <w:autoSpaceDE w:val="0"/>
        <w:autoSpaceDN w:val="0"/>
        <w:adjustRightInd w:val="0"/>
        <w:ind w:left="360"/>
        <w:rPr>
          <w:rFonts w:ascii="Arial" w:hAnsi="Arial" w:cs="Arial"/>
          <w:sz w:val="20"/>
          <w:u w:val="single"/>
        </w:rPr>
      </w:pPr>
      <w:r w:rsidRPr="0052724D">
        <w:rPr>
          <w:rFonts w:ascii="Arial" w:hAnsi="Arial" w:cs="Arial"/>
          <w:sz w:val="20"/>
          <w:u w:val="single"/>
        </w:rPr>
        <w:t>Loss on Extinguishment of Debt</w:t>
      </w:r>
    </w:p>
    <w:p w14:paraId="68149E0F" w14:textId="77777777" w:rsidR="001732CB" w:rsidRDefault="001732CB" w:rsidP="00FD6B26">
      <w:pPr>
        <w:autoSpaceDE w:val="0"/>
        <w:autoSpaceDN w:val="0"/>
        <w:adjustRightInd w:val="0"/>
        <w:ind w:left="360"/>
        <w:rPr>
          <w:rFonts w:ascii="Arial" w:hAnsi="Arial" w:cs="Arial"/>
          <w:sz w:val="20"/>
        </w:rPr>
      </w:pPr>
    </w:p>
    <w:p w14:paraId="1AE266C6" w14:textId="7E6FE23C" w:rsidR="001732CB" w:rsidRDefault="00B242D5" w:rsidP="00FD6B26">
      <w:pPr>
        <w:autoSpaceDE w:val="0"/>
        <w:autoSpaceDN w:val="0"/>
        <w:adjustRightInd w:val="0"/>
        <w:ind w:left="360"/>
        <w:rPr>
          <w:rFonts w:ascii="Arial" w:hAnsi="Arial" w:cs="Arial"/>
          <w:sz w:val="20"/>
        </w:rPr>
      </w:pPr>
      <w:r>
        <w:rPr>
          <w:rFonts w:ascii="Arial" w:hAnsi="Arial" w:cs="Arial"/>
          <w:sz w:val="20"/>
        </w:rPr>
        <w:t>Losses recognized in connection with the refinancing of long-term debt.</w:t>
      </w:r>
    </w:p>
    <w:p w14:paraId="4A92FDBA" w14:textId="77777777" w:rsidR="001732CB" w:rsidRDefault="001732CB" w:rsidP="00FD6B26">
      <w:pPr>
        <w:autoSpaceDE w:val="0"/>
        <w:autoSpaceDN w:val="0"/>
        <w:adjustRightInd w:val="0"/>
        <w:ind w:left="360"/>
        <w:rPr>
          <w:rFonts w:ascii="Arial" w:hAnsi="Arial" w:cs="Arial"/>
          <w:sz w:val="20"/>
        </w:rPr>
      </w:pPr>
    </w:p>
    <w:p w14:paraId="238ADADE" w14:textId="77777777" w:rsidR="00401709" w:rsidRDefault="00401709" w:rsidP="00401709">
      <w:pPr>
        <w:autoSpaceDE w:val="0"/>
        <w:autoSpaceDN w:val="0"/>
        <w:adjustRightInd w:val="0"/>
        <w:ind w:left="360"/>
        <w:rPr>
          <w:rFonts w:ascii="Arial" w:hAnsi="Arial" w:cs="Arial"/>
          <w:sz w:val="20"/>
        </w:rPr>
      </w:pPr>
      <w:r>
        <w:rPr>
          <w:rFonts w:ascii="Arial" w:hAnsi="Arial" w:cs="Arial"/>
          <w:sz w:val="20"/>
          <w:u w:val="single"/>
        </w:rPr>
        <w:t>Loss on disposal of a business</w:t>
      </w:r>
    </w:p>
    <w:p w14:paraId="20FB318B" w14:textId="29611B21" w:rsidR="00401709" w:rsidRPr="00785FBC" w:rsidRDefault="00401709" w:rsidP="00401709">
      <w:pPr>
        <w:autoSpaceDE w:val="0"/>
        <w:autoSpaceDN w:val="0"/>
        <w:adjustRightInd w:val="0"/>
        <w:ind w:left="360"/>
        <w:rPr>
          <w:rFonts w:ascii="Arial" w:hAnsi="Arial" w:cs="Arial"/>
          <w:sz w:val="20"/>
        </w:rPr>
      </w:pPr>
      <w:r>
        <w:rPr>
          <w:rFonts w:ascii="Arial" w:hAnsi="Arial" w:cs="Arial"/>
          <w:sz w:val="20"/>
        </w:rPr>
        <w:t>Represents loss on disposals of businesses (example: Wound divestiture</w:t>
      </w:r>
      <w:r w:rsidR="002D2258">
        <w:rPr>
          <w:rFonts w:ascii="Arial" w:hAnsi="Arial" w:cs="Arial"/>
          <w:sz w:val="20"/>
        </w:rPr>
        <w:t>, Advanced Rehabilitation Business</w:t>
      </w:r>
      <w:r>
        <w:rPr>
          <w:rFonts w:ascii="Arial" w:hAnsi="Arial" w:cs="Arial"/>
          <w:sz w:val="20"/>
        </w:rPr>
        <w:t>).</w:t>
      </w:r>
    </w:p>
    <w:p w14:paraId="5FA8727E" w14:textId="77777777" w:rsidR="00401709" w:rsidRDefault="00401709" w:rsidP="00401709">
      <w:pPr>
        <w:autoSpaceDE w:val="0"/>
        <w:autoSpaceDN w:val="0"/>
        <w:adjustRightInd w:val="0"/>
        <w:ind w:left="360"/>
        <w:rPr>
          <w:rFonts w:ascii="Arial" w:hAnsi="Arial" w:cs="Arial"/>
          <w:sz w:val="20"/>
          <w:u w:val="single"/>
        </w:rPr>
      </w:pPr>
    </w:p>
    <w:p w14:paraId="06643E68" w14:textId="77777777" w:rsidR="00FD6B26" w:rsidRPr="00167A37" w:rsidRDefault="00FD6B26" w:rsidP="00FD6B26">
      <w:pPr>
        <w:autoSpaceDE w:val="0"/>
        <w:autoSpaceDN w:val="0"/>
        <w:adjustRightInd w:val="0"/>
        <w:ind w:left="360"/>
        <w:rPr>
          <w:rFonts w:ascii="Arial" w:hAnsi="Arial" w:cs="Arial"/>
          <w:sz w:val="20"/>
          <w:u w:val="single"/>
        </w:rPr>
      </w:pPr>
      <w:r w:rsidRPr="00167A37">
        <w:rPr>
          <w:rFonts w:ascii="Arial" w:hAnsi="Arial" w:cs="Arial"/>
          <w:sz w:val="20"/>
          <w:u w:val="single"/>
        </w:rPr>
        <w:t xml:space="preserve">Other </w:t>
      </w:r>
      <w:r w:rsidRPr="00372681">
        <w:rPr>
          <w:rFonts w:ascii="Arial" w:hAnsi="Arial" w:cs="Arial"/>
          <w:sz w:val="20"/>
          <w:u w:val="single"/>
        </w:rPr>
        <w:t>costs</w:t>
      </w:r>
    </w:p>
    <w:p w14:paraId="4EBAD780" w14:textId="40C3DC9E" w:rsidR="00FD6B26" w:rsidRDefault="00FD6B26" w:rsidP="00FD6B26">
      <w:pPr>
        <w:autoSpaceDE w:val="0"/>
        <w:autoSpaceDN w:val="0"/>
        <w:adjustRightInd w:val="0"/>
        <w:ind w:left="360"/>
        <w:rPr>
          <w:rFonts w:ascii="Arial" w:hAnsi="Arial" w:cs="Arial"/>
          <w:sz w:val="20"/>
        </w:rPr>
      </w:pPr>
      <w:r>
        <w:rPr>
          <w:rFonts w:ascii="Arial" w:hAnsi="Arial" w:cs="Arial"/>
          <w:sz w:val="20"/>
        </w:rPr>
        <w:t xml:space="preserve">Includes expenses associated with events that are outside the Company’s core operations.  </w:t>
      </w:r>
      <w:r w:rsidRPr="002623C5">
        <w:rPr>
          <w:rFonts w:ascii="Arial" w:hAnsi="Arial" w:cs="Arial"/>
          <w:b/>
          <w:bCs/>
          <w:sz w:val="20"/>
        </w:rPr>
        <w:t xml:space="preserve">Inclusion of items to this category should be reviewed and approved by the </w:t>
      </w:r>
      <w:r w:rsidR="00545ECF" w:rsidRPr="008772DD">
        <w:rPr>
          <w:rFonts w:ascii="Arial" w:hAnsi="Arial" w:cs="Arial"/>
          <w:b/>
          <w:bCs/>
          <w:sz w:val="20"/>
        </w:rPr>
        <w:t>CAO,</w:t>
      </w:r>
      <w:r>
        <w:rPr>
          <w:rFonts w:ascii="Arial" w:hAnsi="Arial" w:cs="Arial"/>
          <w:b/>
          <w:bCs/>
          <w:sz w:val="20"/>
        </w:rPr>
        <w:t xml:space="preserve"> the CFO, and the disclosure committee</w:t>
      </w:r>
      <w:r>
        <w:rPr>
          <w:rFonts w:ascii="Arial" w:hAnsi="Arial" w:cs="Arial"/>
          <w:sz w:val="20"/>
        </w:rPr>
        <w:t>.  Examples of items that have previously been included are:</w:t>
      </w:r>
    </w:p>
    <w:p w14:paraId="70EA1A6B" w14:textId="1614F262" w:rsidR="00FD6B26" w:rsidRPr="002623C5" w:rsidRDefault="00FD6B26" w:rsidP="00FD6B26">
      <w:pPr>
        <w:pStyle w:val="ListParagraph"/>
        <w:numPr>
          <w:ilvl w:val="0"/>
          <w:numId w:val="67"/>
        </w:numPr>
        <w:autoSpaceDE w:val="0"/>
        <w:autoSpaceDN w:val="0"/>
        <w:adjustRightInd w:val="0"/>
        <w:rPr>
          <w:rFonts w:ascii="Arial" w:hAnsi="Arial" w:cs="Arial"/>
          <w:sz w:val="20"/>
        </w:rPr>
      </w:pPr>
      <w:r>
        <w:rPr>
          <w:rFonts w:ascii="Arial" w:hAnsi="Arial" w:cs="Arial"/>
          <w:sz w:val="20"/>
        </w:rPr>
        <w:t>E</w:t>
      </w:r>
      <w:r w:rsidRPr="002623C5">
        <w:rPr>
          <w:rFonts w:ascii="Arial" w:hAnsi="Arial" w:cs="Arial"/>
          <w:sz w:val="20"/>
        </w:rPr>
        <w:t>xpenses associated with preparing to become a public company (primarily accounting and legal fees)</w:t>
      </w:r>
    </w:p>
    <w:p w14:paraId="600481AA" w14:textId="346254FA" w:rsidR="00FD6B26" w:rsidRDefault="00FD6B26" w:rsidP="00FD6B26">
      <w:pPr>
        <w:pStyle w:val="ListParagraph"/>
        <w:numPr>
          <w:ilvl w:val="0"/>
          <w:numId w:val="67"/>
        </w:numPr>
        <w:autoSpaceDE w:val="0"/>
        <w:autoSpaceDN w:val="0"/>
        <w:adjustRightInd w:val="0"/>
        <w:rPr>
          <w:rFonts w:ascii="Arial" w:hAnsi="Arial" w:cs="Arial"/>
          <w:sz w:val="20"/>
        </w:rPr>
      </w:pPr>
      <w:r>
        <w:rPr>
          <w:rFonts w:ascii="Arial" w:hAnsi="Arial" w:cs="Arial"/>
          <w:sz w:val="20"/>
        </w:rPr>
        <w:t xml:space="preserve">Expenses related to potential </w:t>
      </w:r>
      <w:r w:rsidR="00D744C7">
        <w:rPr>
          <w:rFonts w:ascii="Arial" w:hAnsi="Arial" w:cs="Arial"/>
          <w:sz w:val="20"/>
        </w:rPr>
        <w:t xml:space="preserve">or completed </w:t>
      </w:r>
      <w:r>
        <w:rPr>
          <w:rFonts w:ascii="Arial" w:hAnsi="Arial" w:cs="Arial"/>
          <w:sz w:val="20"/>
        </w:rPr>
        <w:t>strategic transactions, such as potential</w:t>
      </w:r>
      <w:r w:rsidR="006C7AB4">
        <w:rPr>
          <w:rFonts w:ascii="Arial" w:hAnsi="Arial" w:cs="Arial"/>
          <w:sz w:val="20"/>
        </w:rPr>
        <w:t xml:space="preserve"> (but not yet consummated)</w:t>
      </w:r>
      <w:r>
        <w:rPr>
          <w:rFonts w:ascii="Arial" w:hAnsi="Arial" w:cs="Arial"/>
          <w:sz w:val="20"/>
        </w:rPr>
        <w:t xml:space="preserve"> acquisitions</w:t>
      </w:r>
    </w:p>
    <w:p w14:paraId="5132966D" w14:textId="60B99F76" w:rsidR="00F022D8" w:rsidRDefault="00F022D8" w:rsidP="00FD6B26">
      <w:pPr>
        <w:pStyle w:val="ListParagraph"/>
        <w:numPr>
          <w:ilvl w:val="0"/>
          <w:numId w:val="67"/>
        </w:numPr>
        <w:autoSpaceDE w:val="0"/>
        <w:autoSpaceDN w:val="0"/>
        <w:adjustRightInd w:val="0"/>
        <w:rPr>
          <w:rFonts w:ascii="Arial" w:hAnsi="Arial" w:cs="Arial"/>
          <w:sz w:val="20"/>
        </w:rPr>
      </w:pPr>
      <w:r>
        <w:rPr>
          <w:rFonts w:ascii="Arial" w:hAnsi="Arial" w:cs="Arial"/>
          <w:sz w:val="20"/>
        </w:rPr>
        <w:t>Transformative project to redesign systems and information processing</w:t>
      </w:r>
    </w:p>
    <w:p w14:paraId="27EF4E45" w14:textId="77777777" w:rsidR="00FD6B26" w:rsidRDefault="00FD6B26" w:rsidP="00FD6B26">
      <w:pPr>
        <w:autoSpaceDE w:val="0"/>
        <w:autoSpaceDN w:val="0"/>
        <w:adjustRightInd w:val="0"/>
        <w:rPr>
          <w:rFonts w:ascii="Arial" w:hAnsi="Arial" w:cs="Arial"/>
          <w:sz w:val="20"/>
        </w:rPr>
      </w:pPr>
    </w:p>
    <w:p w14:paraId="229A7C0B" w14:textId="77777777" w:rsidR="00FD6B26" w:rsidRPr="002623C5" w:rsidRDefault="00FD6B26" w:rsidP="00FD6B26">
      <w:pPr>
        <w:autoSpaceDE w:val="0"/>
        <w:autoSpaceDN w:val="0"/>
        <w:adjustRightInd w:val="0"/>
        <w:ind w:left="360"/>
        <w:rPr>
          <w:rFonts w:ascii="Arial" w:hAnsi="Arial" w:cs="Arial"/>
          <w:sz w:val="20"/>
        </w:rPr>
      </w:pPr>
      <w:r>
        <w:rPr>
          <w:rFonts w:ascii="Arial" w:hAnsi="Arial" w:cs="Arial"/>
          <w:sz w:val="20"/>
        </w:rPr>
        <w:t>Other characteristics to consider in including an item in this category are:</w:t>
      </w:r>
    </w:p>
    <w:p w14:paraId="3BFB996E" w14:textId="58158A9F" w:rsidR="00663883" w:rsidRPr="00A20360" w:rsidRDefault="00FD6B26" w:rsidP="008A697A">
      <w:pPr>
        <w:ind w:left="360"/>
        <w:rPr>
          <w:rFonts w:ascii="Arial" w:hAnsi="Arial" w:cs="Arial"/>
          <w:sz w:val="20"/>
          <w:szCs w:val="24"/>
        </w:rPr>
      </w:pPr>
      <w:r w:rsidRPr="00027A12">
        <w:rPr>
          <w:rFonts w:ascii="Arial" w:hAnsi="Arial" w:cs="Arial"/>
          <w:sz w:val="20"/>
        </w:rPr>
        <w:t xml:space="preserve">Non-recurring expenses or gains </w:t>
      </w:r>
      <w:r w:rsidR="00E37436">
        <w:rPr>
          <w:rFonts w:ascii="Arial" w:hAnsi="Arial" w:cs="Arial"/>
          <w:sz w:val="20"/>
        </w:rPr>
        <w:t>are expected to</w:t>
      </w:r>
      <w:r w:rsidRPr="00027A12">
        <w:rPr>
          <w:rFonts w:ascii="Arial" w:hAnsi="Arial" w:cs="Arial"/>
          <w:sz w:val="20"/>
        </w:rPr>
        <w:t xml:space="preserve"> not hav</w:t>
      </w:r>
      <w:r w:rsidR="00E37436">
        <w:rPr>
          <w:rFonts w:ascii="Arial" w:hAnsi="Arial" w:cs="Arial"/>
          <w:sz w:val="20"/>
        </w:rPr>
        <w:t>e</w:t>
      </w:r>
      <w:r w:rsidRPr="00027A12">
        <w:rPr>
          <w:rFonts w:ascii="Arial" w:hAnsi="Arial" w:cs="Arial"/>
          <w:sz w:val="20"/>
        </w:rPr>
        <w:t xml:space="preserve"> occurred in the past two years and </w:t>
      </w:r>
      <w:r w:rsidR="00E37436">
        <w:rPr>
          <w:rFonts w:ascii="Arial" w:hAnsi="Arial" w:cs="Arial"/>
          <w:sz w:val="20"/>
        </w:rPr>
        <w:t xml:space="preserve">be </w:t>
      </w:r>
      <w:r w:rsidRPr="00027A12">
        <w:rPr>
          <w:rFonts w:ascii="Arial" w:hAnsi="Arial" w:cs="Arial"/>
          <w:sz w:val="20"/>
        </w:rPr>
        <w:t xml:space="preserve">not reasonably likely to </w:t>
      </w:r>
      <w:r w:rsidR="002D2EC2" w:rsidRPr="00027A12">
        <w:rPr>
          <w:rFonts w:ascii="Arial" w:hAnsi="Arial" w:cs="Arial"/>
          <w:sz w:val="20"/>
        </w:rPr>
        <w:t>recur</w:t>
      </w:r>
      <w:r w:rsidRPr="00027A12">
        <w:rPr>
          <w:rFonts w:ascii="Arial" w:hAnsi="Arial" w:cs="Arial"/>
          <w:sz w:val="20"/>
        </w:rPr>
        <w:t xml:space="preserve"> in the next two years</w:t>
      </w:r>
      <w:r w:rsidR="002C47DE" w:rsidRPr="00027A12">
        <w:rPr>
          <w:rFonts w:ascii="Arial" w:hAnsi="Arial" w:cs="Arial"/>
          <w:sz w:val="20"/>
        </w:rPr>
        <w:t>.</w:t>
      </w:r>
      <w:bookmarkStart w:id="5" w:name="_Segment_Reporting"/>
      <w:bookmarkStart w:id="6" w:name="_Use_of_Estimates/Sensitive"/>
      <w:bookmarkStart w:id="7" w:name="_Cash_and_Cash"/>
      <w:bookmarkStart w:id="8" w:name="_Accounts_Receivables_and"/>
      <w:bookmarkStart w:id="9" w:name="_Credit_Limits"/>
      <w:bookmarkStart w:id="10" w:name="_Inventories"/>
      <w:bookmarkStart w:id="11" w:name="_9.2_Standard_Costing"/>
      <w:bookmarkStart w:id="12" w:name="_9.3_Capitalized_Depreciation"/>
      <w:bookmarkStart w:id="13" w:name="_9.4_Inventory_Reserves"/>
      <w:bookmarkStart w:id="14" w:name="_9.5_Product_Samples"/>
      <w:bookmarkStart w:id="15" w:name="_Prepaid_and_Other"/>
      <w:bookmarkStart w:id="16" w:name="_Fixed_Assets"/>
      <w:bookmarkStart w:id="17" w:name="_Leased_Assets"/>
      <w:bookmarkStart w:id="18" w:name="p123"/>
      <w:bookmarkStart w:id="19" w:name="pwc-arm4650.123"/>
      <w:bookmarkStart w:id="20" w:name="_Goodwill"/>
      <w:bookmarkStart w:id="21" w:name="_Intangible_Assets,_other"/>
      <w:bookmarkStart w:id="22" w:name="p35-3-a"/>
      <w:bookmarkStart w:id="23" w:name="p35-3-b"/>
      <w:bookmarkStart w:id="24" w:name="p35-3-c"/>
      <w:bookmarkStart w:id="25" w:name="p35-3-d"/>
      <w:bookmarkStart w:id="26" w:name="p35-3-e"/>
      <w:bookmarkStart w:id="27" w:name="p35-3-f"/>
      <w:bookmarkStart w:id="28" w:name="_Equity_Investments"/>
      <w:bookmarkStart w:id="29" w:name="_Accounts_Payable"/>
      <w:bookmarkStart w:id="30" w:name="_Accrued_Expenses"/>
      <w:bookmarkStart w:id="31" w:name="_Debt_Modification_and"/>
      <w:bookmarkStart w:id="32" w:name="_Loss_Contingencies"/>
      <w:bookmarkStart w:id="33" w:name="_Fair_Value"/>
      <w:bookmarkStart w:id="34" w:name="_Revenue"/>
      <w:bookmarkStart w:id="35" w:name="_Cost_of_Sales"/>
      <w:bookmarkStart w:id="36" w:name="_Selling,_General_and"/>
      <w:bookmarkStart w:id="37" w:name="_Research_and_Development"/>
      <w:bookmarkStart w:id="38" w:name="_Business_Combinations"/>
      <w:bookmarkStart w:id="39" w:name="_Exit_or_Disposal"/>
      <w:bookmarkStart w:id="40" w:name="_Discontinued_Operations"/>
      <w:bookmarkStart w:id="41" w:name="_Interest_Expense"/>
      <w:bookmarkStart w:id="42" w:name="_Income_Tax"/>
      <w:bookmarkStart w:id="43" w:name="_Other_Comprehensive_Income"/>
      <w:bookmarkStart w:id="44" w:name="_Derivatives"/>
      <w:bookmarkStart w:id="45" w:name="_Management_Charges"/>
      <w:bookmarkStart w:id="46" w:name="_Toc233530061"/>
      <w:bookmarkStart w:id="47" w:name="_Foreign_Currency"/>
      <w:bookmarkStart w:id="48" w:name="_Earnings_(Loss)_Per"/>
      <w:bookmarkStart w:id="49" w:name="_Recently_Issued_Accounting"/>
      <w:bookmarkStart w:id="50" w:name="_Quantifying_Errors_and"/>
      <w:bookmarkStart w:id="51" w:name="_Unusual_Transactions"/>
      <w:bookmarkStart w:id="52" w:name="_Gains_and_Losses"/>
      <w:bookmarkStart w:id="53" w:name="_Policy_and_Procedure"/>
      <w:bookmarkStart w:id="54" w:name="_Grants_and_Donations"/>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sectPr w:rsidR="00663883" w:rsidRPr="00A20360">
      <w:footerReference w:type="default" r:id="rId9"/>
      <w:footerReference w:type="first" r:id="rId10"/>
      <w:pgSz w:w="11909" w:h="16834" w:code="9"/>
      <w:pgMar w:top="1021" w:right="1151" w:bottom="1247" w:left="1151" w:header="720" w:footer="720" w:gutter="0"/>
      <w:paperSrc w:first="7" w:other="7"/>
      <w:cols w:space="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0058" w14:textId="77777777" w:rsidR="002E2BB3" w:rsidRDefault="002E2BB3">
      <w:r>
        <w:separator/>
      </w:r>
    </w:p>
    <w:p w14:paraId="3583302C" w14:textId="77777777" w:rsidR="002E2BB3" w:rsidRDefault="002E2BB3"/>
  </w:endnote>
  <w:endnote w:type="continuationSeparator" w:id="0">
    <w:p w14:paraId="013CBB4C" w14:textId="77777777" w:rsidR="002E2BB3" w:rsidRDefault="002E2BB3">
      <w:r>
        <w:continuationSeparator/>
      </w:r>
    </w:p>
    <w:p w14:paraId="11E9F65A" w14:textId="77777777" w:rsidR="002E2BB3" w:rsidRDefault="002E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mith&amp;Nephew-Bold">
    <w:altName w:val="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Smith&amp;NephewLF">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6F14" w14:textId="18446B12" w:rsidR="00241A2B" w:rsidRDefault="00241A2B">
    <w:pPr>
      <w:pStyle w:val="Footer"/>
      <w:jc w:val="center"/>
    </w:pPr>
    <w:r>
      <w:t xml:space="preserve">   </w:t>
    </w:r>
    <w:r>
      <w:fldChar w:fldCharType="begin"/>
    </w:r>
    <w:r>
      <w:instrText xml:space="preserve"> PAGE   \* MERGEFORMAT </w:instrText>
    </w:r>
    <w:r>
      <w:fldChar w:fldCharType="separate"/>
    </w:r>
    <w:r w:rsidR="00811084">
      <w:rPr>
        <w:noProof/>
      </w:rPr>
      <w:t>22</w:t>
    </w:r>
    <w:r>
      <w:rPr>
        <w:noProof/>
      </w:rPr>
      <w:fldChar w:fldCharType="end"/>
    </w:r>
  </w:p>
  <w:p w14:paraId="590E438E" w14:textId="1EC4DC63" w:rsidR="00241A2B" w:rsidRDefault="00241A2B">
    <w:pPr>
      <w:pStyle w:val="Footer"/>
      <w:tabs>
        <w:tab w:val="clear" w:pos="4153"/>
        <w:tab w:val="clear" w:pos="8306"/>
        <w:tab w:val="center" w:pos="4803"/>
        <w:tab w:val="right" w:pos="9607"/>
      </w:tabs>
    </w:pPr>
    <w:r>
      <w:t xml:space="preserve">Version: </w:t>
    </w:r>
    <w:r w:rsidR="001E0408">
      <w:t>3</w:t>
    </w:r>
    <w:r>
      <w:t>.0</w:t>
    </w:r>
    <w:r>
      <w:tab/>
    </w:r>
    <w:r>
      <w:tab/>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94D9" w14:textId="508D834A" w:rsidR="00241A2B" w:rsidRDefault="00241A2B">
    <w:pPr>
      <w:pStyle w:val="Footer"/>
      <w:jc w:val="center"/>
    </w:pPr>
    <w:r>
      <w:fldChar w:fldCharType="begin"/>
    </w:r>
    <w:r>
      <w:instrText xml:space="preserve"> PAGE   \* MERGEFORMAT </w:instrText>
    </w:r>
    <w:r>
      <w:fldChar w:fldCharType="separate"/>
    </w:r>
    <w:r w:rsidR="00811084">
      <w:rPr>
        <w:noProof/>
      </w:rPr>
      <w:t>5</w:t>
    </w:r>
    <w:r>
      <w:rPr>
        <w:noProof/>
      </w:rPr>
      <w:fldChar w:fldCharType="end"/>
    </w:r>
  </w:p>
  <w:p w14:paraId="4C783F98" w14:textId="77777777" w:rsidR="00241A2B" w:rsidRDefault="0024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FDBC" w14:textId="77777777" w:rsidR="002E2BB3" w:rsidRDefault="002E2BB3">
      <w:r>
        <w:separator/>
      </w:r>
    </w:p>
    <w:p w14:paraId="181AF3C9" w14:textId="77777777" w:rsidR="002E2BB3" w:rsidRDefault="002E2BB3"/>
  </w:footnote>
  <w:footnote w:type="continuationSeparator" w:id="0">
    <w:p w14:paraId="74B1CB93" w14:textId="77777777" w:rsidR="002E2BB3" w:rsidRDefault="002E2BB3">
      <w:r>
        <w:continuationSeparator/>
      </w:r>
    </w:p>
    <w:p w14:paraId="63DBABDA" w14:textId="77777777" w:rsidR="002E2BB3" w:rsidRDefault="002E2BB3"/>
  </w:footnote>
  <w:footnote w:id="1">
    <w:p w14:paraId="639E5780" w14:textId="77777777" w:rsidR="00241A2B" w:rsidRPr="00241A2B" w:rsidRDefault="00241A2B" w:rsidP="00241A2B">
      <w:pPr>
        <w:pStyle w:val="FootnoteText"/>
        <w:rPr>
          <w:sz w:val="16"/>
          <w:szCs w:val="16"/>
        </w:rPr>
      </w:pPr>
      <w:r>
        <w:rPr>
          <w:rStyle w:val="FootnoteReference"/>
        </w:rPr>
        <w:footnoteRef/>
      </w:r>
      <w:r>
        <w:t xml:space="preserve"> </w:t>
      </w:r>
      <w:r w:rsidRPr="00241A2B">
        <w:rPr>
          <w:sz w:val="16"/>
          <w:szCs w:val="16"/>
        </w:rPr>
        <w:t>According to the SEC’s C&amp;DI’s on Non-GAAP Financial Measures, question 104.01, “segment information that is presented in conformity with Accounting Standards Codification 280, pursuant to which a company may determine segment profitability on a basis that differs from the amounts in the consolidated financial statements determined in accordance with GAAP”, is not considered to be a non-GAAP financial measure under Regulation G and Item 10€ of Regulation S-K. “Non-GAAP financial measures do not include financial measures that are required to be disclosed by GAAP. Exchange Act Release No. 47226 lists "measures of profit or loss and total assets for each segment required to be disclosed in accordance with GAAP" as examples of such measures.”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D1A"/>
    <w:multiLevelType w:val="hybridMultilevel"/>
    <w:tmpl w:val="5AE6B4DE"/>
    <w:lvl w:ilvl="0" w:tplc="04090001">
      <w:start w:val="1"/>
      <w:numFmt w:val="bullet"/>
      <w:lvlText w:val=""/>
      <w:lvlJc w:val="left"/>
      <w:pPr>
        <w:ind w:left="1080" w:hanging="360"/>
      </w:pPr>
      <w:rPr>
        <w:rFonts w:ascii="Symbol" w:hAnsi="Symbol" w:hint="default"/>
      </w:rPr>
    </w:lvl>
    <w:lvl w:ilvl="1" w:tplc="57EA21E2">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6F1BC5"/>
    <w:multiLevelType w:val="hybridMultilevel"/>
    <w:tmpl w:val="17A0B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A22656"/>
    <w:multiLevelType w:val="hybridMultilevel"/>
    <w:tmpl w:val="FB408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240F89"/>
    <w:multiLevelType w:val="hybridMultilevel"/>
    <w:tmpl w:val="7B6A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A95F3F"/>
    <w:multiLevelType w:val="hybridMultilevel"/>
    <w:tmpl w:val="168C7212"/>
    <w:lvl w:ilvl="0" w:tplc="A0009036">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DE3340"/>
    <w:multiLevelType w:val="hybridMultilevel"/>
    <w:tmpl w:val="D75EAB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3E2273"/>
    <w:multiLevelType w:val="multilevel"/>
    <w:tmpl w:val="1F0EA4CC"/>
    <w:lvl w:ilvl="0">
      <w:start w:val="1"/>
      <w:numFmt w:val="bullet"/>
      <w:lvlText w:val=""/>
      <w:lvlJc w:val="left"/>
      <w:pPr>
        <w:tabs>
          <w:tab w:val="num" w:pos="660"/>
        </w:tabs>
        <w:ind w:left="660" w:hanging="660"/>
      </w:pPr>
      <w:rPr>
        <w:rFonts w:ascii="Symbol" w:hAnsi="Symbol" w:hint="default"/>
      </w:rPr>
    </w:lvl>
    <w:lvl w:ilvl="1">
      <w:start w:val="1"/>
      <w:numFmt w:val="decimal"/>
      <w:lvlText w:val="%2"/>
      <w:lvlJc w:val="left"/>
      <w:pPr>
        <w:tabs>
          <w:tab w:val="num" w:pos="930"/>
        </w:tabs>
        <w:ind w:left="930" w:hanging="660"/>
      </w:pPr>
      <w:rPr>
        <w:rFonts w:ascii="Century Gothic" w:eastAsia="Times New Roman" w:hAnsi="Century Gothic" w:cs="Times New Roman" w:hint="default"/>
      </w:rPr>
    </w:lvl>
    <w:lvl w:ilvl="2">
      <w:start w:val="1"/>
      <w:numFmt w:val="decimal"/>
      <w:lvlText w:val="2.%2.%3"/>
      <w:lvlJc w:val="left"/>
      <w:pPr>
        <w:tabs>
          <w:tab w:val="num" w:pos="720"/>
        </w:tabs>
        <w:ind w:left="720" w:hanging="720"/>
      </w:pPr>
      <w:rPr>
        <w:rFonts w:hint="default"/>
        <w:b w:val="0"/>
        <w:sz w:val="20"/>
        <w:szCs w:val="20"/>
      </w:rPr>
    </w:lvl>
    <w:lvl w:ilvl="3">
      <w:start w:val="1"/>
      <w:numFmt w:val="decimal"/>
      <w:lvlText w:val="%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FF6528"/>
    <w:multiLevelType w:val="hybridMultilevel"/>
    <w:tmpl w:val="0C5C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5235C"/>
    <w:multiLevelType w:val="hybridMultilevel"/>
    <w:tmpl w:val="8864C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831CC7"/>
    <w:multiLevelType w:val="hybridMultilevel"/>
    <w:tmpl w:val="6A9C7A0E"/>
    <w:lvl w:ilvl="0" w:tplc="6F383A8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117525"/>
    <w:multiLevelType w:val="hybridMultilevel"/>
    <w:tmpl w:val="9E4EABA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CA2DEF"/>
    <w:multiLevelType w:val="hybridMultilevel"/>
    <w:tmpl w:val="C2FA93D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3E65FE"/>
    <w:multiLevelType w:val="hybridMultilevel"/>
    <w:tmpl w:val="062C1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7A6AE1"/>
    <w:multiLevelType w:val="hybridMultilevel"/>
    <w:tmpl w:val="0F2E94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F75EFE"/>
    <w:multiLevelType w:val="hybridMultilevel"/>
    <w:tmpl w:val="0DCEE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5F051E"/>
    <w:multiLevelType w:val="multilevel"/>
    <w:tmpl w:val="E63069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A266B47"/>
    <w:multiLevelType w:val="hybridMultilevel"/>
    <w:tmpl w:val="C06E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025BE2"/>
    <w:multiLevelType w:val="hybridMultilevel"/>
    <w:tmpl w:val="6FC8E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837808"/>
    <w:multiLevelType w:val="hybridMultilevel"/>
    <w:tmpl w:val="DBB66F1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1FCF767F"/>
    <w:multiLevelType w:val="hybridMultilevel"/>
    <w:tmpl w:val="270E9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EA027F"/>
    <w:multiLevelType w:val="hybridMultilevel"/>
    <w:tmpl w:val="548CD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915114"/>
    <w:multiLevelType w:val="hybridMultilevel"/>
    <w:tmpl w:val="7EE0DF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29C81D83"/>
    <w:multiLevelType w:val="hybridMultilevel"/>
    <w:tmpl w:val="DDC8E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BC315C"/>
    <w:multiLevelType w:val="hybridMultilevel"/>
    <w:tmpl w:val="A8F2B5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6F08FF"/>
    <w:multiLevelType w:val="hybridMultilevel"/>
    <w:tmpl w:val="9AD8D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8C2010"/>
    <w:multiLevelType w:val="hybridMultilevel"/>
    <w:tmpl w:val="61D253B4"/>
    <w:lvl w:ilvl="0" w:tplc="442A6126">
      <w:start w:val="1"/>
      <w:numFmt w:val="bullet"/>
      <w:pStyle w:val="wajikChar1"/>
      <w:lvlText w:val=""/>
      <w:lvlJc w:val="left"/>
      <w:pPr>
        <w:tabs>
          <w:tab w:val="num" w:pos="57"/>
        </w:tabs>
        <w:ind w:left="340" w:hanging="34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360"/>
      </w:pPr>
      <w:rPr>
        <w:rFonts w:hint="default"/>
      </w:rPr>
    </w:lvl>
    <w:lvl w:ilvl="3" w:tplc="98E033B4">
      <w:start w:val="2"/>
      <w:numFmt w:val="lowerLetter"/>
      <w:lvlText w:val="%4."/>
      <w:lvlJc w:val="left"/>
      <w:pPr>
        <w:tabs>
          <w:tab w:val="num" w:pos="2880"/>
        </w:tabs>
        <w:ind w:left="2880" w:hanging="360"/>
      </w:pPr>
      <w:rPr>
        <w:rFonts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A2AD5"/>
    <w:multiLevelType w:val="hybridMultilevel"/>
    <w:tmpl w:val="CC60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044120"/>
    <w:multiLevelType w:val="hybridMultilevel"/>
    <w:tmpl w:val="6FA81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7F137C"/>
    <w:multiLevelType w:val="hybridMultilevel"/>
    <w:tmpl w:val="E4AAF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DDE5473"/>
    <w:multiLevelType w:val="hybridMultilevel"/>
    <w:tmpl w:val="EFBCB89E"/>
    <w:lvl w:ilvl="0" w:tplc="6F383A88">
      <w:start w:val="1"/>
      <w:numFmt w:val="bullet"/>
      <w:lvlText w:val="­"/>
      <w:lvlJc w:val="left"/>
      <w:pPr>
        <w:ind w:left="1440" w:hanging="360"/>
      </w:pPr>
      <w:rPr>
        <w:rFonts w:ascii="Courier New" w:hAnsi="Courier New" w:hint="default"/>
      </w:rPr>
    </w:lvl>
    <w:lvl w:ilvl="1" w:tplc="6F383A88">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E5D658F"/>
    <w:multiLevelType w:val="hybridMultilevel"/>
    <w:tmpl w:val="F51CE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E635666"/>
    <w:multiLevelType w:val="hybridMultilevel"/>
    <w:tmpl w:val="AE64AD8E"/>
    <w:lvl w:ilvl="0" w:tplc="6F383A88">
      <w:start w:val="1"/>
      <w:numFmt w:val="bullet"/>
      <w:lvlText w:val="­"/>
      <w:lvlJc w:val="left"/>
      <w:pPr>
        <w:ind w:left="1350" w:hanging="360"/>
      </w:pPr>
      <w:rPr>
        <w:rFonts w:ascii="Courier New" w:hAnsi="Courier New" w:hint="default"/>
      </w:rPr>
    </w:lvl>
    <w:lvl w:ilvl="1" w:tplc="6F383A88">
      <w:start w:val="1"/>
      <w:numFmt w:val="bullet"/>
      <w:lvlText w:val="­"/>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2EA53C1B"/>
    <w:multiLevelType w:val="hybridMultilevel"/>
    <w:tmpl w:val="424A9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7A2A9A"/>
    <w:multiLevelType w:val="hybridMultilevel"/>
    <w:tmpl w:val="0E70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40A161B"/>
    <w:multiLevelType w:val="hybridMultilevel"/>
    <w:tmpl w:val="9FF288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5897545"/>
    <w:multiLevelType w:val="hybridMultilevel"/>
    <w:tmpl w:val="A6489F74"/>
    <w:lvl w:ilvl="0" w:tplc="04090001">
      <w:start w:val="1"/>
      <w:numFmt w:val="bullet"/>
      <w:lvlText w:val=""/>
      <w:lvlJc w:val="left"/>
      <w:pPr>
        <w:ind w:left="1080" w:hanging="360"/>
      </w:pPr>
      <w:rPr>
        <w:rFonts w:ascii="Symbol" w:hAnsi="Symbol" w:hint="default"/>
      </w:rPr>
    </w:lvl>
    <w:lvl w:ilvl="1" w:tplc="A0009036">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0A94DE4"/>
    <w:multiLevelType w:val="hybridMultilevel"/>
    <w:tmpl w:val="D39451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F3E8C"/>
    <w:multiLevelType w:val="hybridMultilevel"/>
    <w:tmpl w:val="D9E4A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2B302CC"/>
    <w:multiLevelType w:val="hybridMultilevel"/>
    <w:tmpl w:val="F9862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8BC0E17"/>
    <w:multiLevelType w:val="hybridMultilevel"/>
    <w:tmpl w:val="3A566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945C8A"/>
    <w:multiLevelType w:val="hybridMultilevel"/>
    <w:tmpl w:val="CE542C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8916D3"/>
    <w:multiLevelType w:val="hybridMultilevel"/>
    <w:tmpl w:val="9D508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25544B"/>
    <w:multiLevelType w:val="hybridMultilevel"/>
    <w:tmpl w:val="C206D9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27D55E0"/>
    <w:multiLevelType w:val="hybridMultilevel"/>
    <w:tmpl w:val="664AA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2FC5F45"/>
    <w:multiLevelType w:val="hybridMultilevel"/>
    <w:tmpl w:val="8528C11A"/>
    <w:lvl w:ilvl="0" w:tplc="04090001">
      <w:start w:val="1"/>
      <w:numFmt w:val="bullet"/>
      <w:lvlText w:val=""/>
      <w:lvlJc w:val="left"/>
      <w:pPr>
        <w:ind w:left="1080" w:hanging="360"/>
      </w:pPr>
      <w:rPr>
        <w:rFonts w:ascii="Symbol" w:hAnsi="Symbol" w:hint="default"/>
      </w:rPr>
    </w:lvl>
    <w:lvl w:ilvl="1" w:tplc="6F383A88">
      <w:start w:val="1"/>
      <w:numFmt w:val="bullet"/>
      <w:lvlText w:val="­"/>
      <w:lvlJc w:val="left"/>
      <w:pPr>
        <w:ind w:left="1800" w:hanging="360"/>
      </w:pPr>
      <w:rPr>
        <w:rFonts w:ascii="Courier New" w:hAnsi="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0C4C11"/>
    <w:multiLevelType w:val="hybridMultilevel"/>
    <w:tmpl w:val="C100C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65C5DA1"/>
    <w:multiLevelType w:val="hybridMultilevel"/>
    <w:tmpl w:val="6D361D10"/>
    <w:lvl w:ilvl="0" w:tplc="04090001">
      <w:start w:val="1"/>
      <w:numFmt w:val="bullet"/>
      <w:lvlText w:val=""/>
      <w:lvlJc w:val="left"/>
      <w:pPr>
        <w:ind w:left="1080" w:hanging="360"/>
      </w:pPr>
      <w:rPr>
        <w:rFonts w:ascii="Symbol" w:hAnsi="Symbol" w:hint="default"/>
      </w:rPr>
    </w:lvl>
    <w:lvl w:ilvl="1" w:tplc="DFC4FDA8">
      <w:start w:val="2"/>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5D7607"/>
    <w:multiLevelType w:val="hybridMultilevel"/>
    <w:tmpl w:val="75AEF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9607615"/>
    <w:multiLevelType w:val="hybridMultilevel"/>
    <w:tmpl w:val="CE80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B27DF"/>
    <w:multiLevelType w:val="hybridMultilevel"/>
    <w:tmpl w:val="85707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FD41BF3"/>
    <w:multiLevelType w:val="hybridMultilevel"/>
    <w:tmpl w:val="E5D48F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4F25171"/>
    <w:multiLevelType w:val="hybridMultilevel"/>
    <w:tmpl w:val="3F449F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72F4FA">
      <w:start w:val="1"/>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7561FD6"/>
    <w:multiLevelType w:val="hybridMultilevel"/>
    <w:tmpl w:val="F384BF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3" w15:restartNumberingAfterBreak="0">
    <w:nsid w:val="6917637C"/>
    <w:multiLevelType w:val="hybridMultilevel"/>
    <w:tmpl w:val="BBF67DA6"/>
    <w:lvl w:ilvl="0" w:tplc="04090001">
      <w:start w:val="1"/>
      <w:numFmt w:val="bullet"/>
      <w:lvlText w:val=""/>
      <w:lvlJc w:val="left"/>
      <w:pPr>
        <w:ind w:left="720" w:hanging="360"/>
      </w:pPr>
      <w:rPr>
        <w:rFonts w:ascii="Symbol" w:hAnsi="Symbol" w:hint="default"/>
      </w:rPr>
    </w:lvl>
    <w:lvl w:ilvl="1" w:tplc="6F383A8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51E3B"/>
    <w:multiLevelType w:val="hybridMultilevel"/>
    <w:tmpl w:val="DAEC14DA"/>
    <w:lvl w:ilvl="0" w:tplc="6F383A88">
      <w:start w:val="1"/>
      <w:numFmt w:val="bullet"/>
      <w:lvlText w:val="­"/>
      <w:lvlJc w:val="left"/>
      <w:pPr>
        <w:ind w:left="1350" w:hanging="360"/>
      </w:pPr>
      <w:rPr>
        <w:rFonts w:ascii="Courier New" w:hAnsi="Courier New" w:hint="default"/>
      </w:rPr>
    </w:lvl>
    <w:lvl w:ilvl="1" w:tplc="6F383A88">
      <w:start w:val="1"/>
      <w:numFmt w:val="bullet"/>
      <w:lvlText w:val="­"/>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15:restartNumberingAfterBreak="0">
    <w:nsid w:val="70A702A5"/>
    <w:multiLevelType w:val="hybridMultilevel"/>
    <w:tmpl w:val="33D60AB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56" w15:restartNumberingAfterBreak="0">
    <w:nsid w:val="724B67D5"/>
    <w:multiLevelType w:val="hybridMultilevel"/>
    <w:tmpl w:val="2A101B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15:restartNumberingAfterBreak="0">
    <w:nsid w:val="72BE32BA"/>
    <w:multiLevelType w:val="hybridMultilevel"/>
    <w:tmpl w:val="35869D4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76196152"/>
    <w:multiLevelType w:val="hybridMultilevel"/>
    <w:tmpl w:val="35F080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9853F97"/>
    <w:multiLevelType w:val="hybridMultilevel"/>
    <w:tmpl w:val="84BEC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B8D16D7"/>
    <w:multiLevelType w:val="hybridMultilevel"/>
    <w:tmpl w:val="11C4E180"/>
    <w:lvl w:ilvl="0" w:tplc="04090001">
      <w:start w:val="1"/>
      <w:numFmt w:val="bullet"/>
      <w:lvlText w:val=""/>
      <w:lvlJc w:val="left"/>
      <w:pPr>
        <w:ind w:left="720" w:hanging="360"/>
      </w:pPr>
      <w:rPr>
        <w:rFonts w:ascii="Symbol" w:hAnsi="Symbol" w:hint="default"/>
      </w:rPr>
    </w:lvl>
    <w:lvl w:ilvl="1" w:tplc="71BA5D5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1D306D"/>
    <w:multiLevelType w:val="hybridMultilevel"/>
    <w:tmpl w:val="F4366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322A32"/>
    <w:multiLevelType w:val="hybridMultilevel"/>
    <w:tmpl w:val="D9BA6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ED921C7"/>
    <w:multiLevelType w:val="hybridMultilevel"/>
    <w:tmpl w:val="2FB0F624"/>
    <w:lvl w:ilvl="0" w:tplc="04090001">
      <w:start w:val="1"/>
      <w:numFmt w:val="bullet"/>
      <w:lvlText w:val=""/>
      <w:lvlJc w:val="left"/>
      <w:pPr>
        <w:ind w:left="1080" w:hanging="360"/>
      </w:pPr>
      <w:rPr>
        <w:rFonts w:ascii="Symbol" w:hAnsi="Symbol" w:hint="default"/>
      </w:rPr>
    </w:lvl>
    <w:lvl w:ilvl="1" w:tplc="71BA5D56">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1711164">
    <w:abstractNumId w:val="25"/>
  </w:num>
  <w:num w:numId="2" w16cid:durableId="327906148">
    <w:abstractNumId w:val="6"/>
  </w:num>
  <w:num w:numId="3" w16cid:durableId="471291312">
    <w:abstractNumId w:val="42"/>
  </w:num>
  <w:num w:numId="4" w16cid:durableId="1874726158">
    <w:abstractNumId w:val="53"/>
  </w:num>
  <w:num w:numId="5" w16cid:durableId="1421755041">
    <w:abstractNumId w:val="57"/>
  </w:num>
  <w:num w:numId="6" w16cid:durableId="1146050398">
    <w:abstractNumId w:val="61"/>
  </w:num>
  <w:num w:numId="7" w16cid:durableId="531068445">
    <w:abstractNumId w:val="7"/>
  </w:num>
  <w:num w:numId="8" w16cid:durableId="1083915325">
    <w:abstractNumId w:val="38"/>
  </w:num>
  <w:num w:numId="9" w16cid:durableId="619339934">
    <w:abstractNumId w:val="59"/>
  </w:num>
  <w:num w:numId="10" w16cid:durableId="1773820195">
    <w:abstractNumId w:val="12"/>
  </w:num>
  <w:num w:numId="11" w16cid:durableId="17245605">
    <w:abstractNumId w:val="45"/>
  </w:num>
  <w:num w:numId="12" w16cid:durableId="471749557">
    <w:abstractNumId w:val="52"/>
  </w:num>
  <w:num w:numId="13" w16cid:durableId="1131944399">
    <w:abstractNumId w:val="34"/>
  </w:num>
  <w:num w:numId="14" w16cid:durableId="955715780">
    <w:abstractNumId w:val="56"/>
  </w:num>
  <w:num w:numId="15" w16cid:durableId="1082605492">
    <w:abstractNumId w:val="21"/>
  </w:num>
  <w:num w:numId="16" w16cid:durableId="562376125">
    <w:abstractNumId w:val="18"/>
  </w:num>
  <w:num w:numId="17" w16cid:durableId="119153017">
    <w:abstractNumId w:val="44"/>
  </w:num>
  <w:num w:numId="18" w16cid:durableId="2140028250">
    <w:abstractNumId w:val="5"/>
  </w:num>
  <w:num w:numId="19" w16cid:durableId="1927809088">
    <w:abstractNumId w:val="37"/>
  </w:num>
  <w:num w:numId="20" w16cid:durableId="659504830">
    <w:abstractNumId w:val="10"/>
  </w:num>
  <w:num w:numId="21" w16cid:durableId="1764574268">
    <w:abstractNumId w:val="2"/>
  </w:num>
  <w:num w:numId="22" w16cid:durableId="1307854172">
    <w:abstractNumId w:val="24"/>
  </w:num>
  <w:num w:numId="23" w16cid:durableId="1825580296">
    <w:abstractNumId w:val="62"/>
  </w:num>
  <w:num w:numId="24" w16cid:durableId="913468990">
    <w:abstractNumId w:val="14"/>
  </w:num>
  <w:num w:numId="25" w16cid:durableId="1840267101">
    <w:abstractNumId w:val="23"/>
  </w:num>
  <w:num w:numId="26" w16cid:durableId="826477689">
    <w:abstractNumId w:val="36"/>
  </w:num>
  <w:num w:numId="27" w16cid:durableId="1471244008">
    <w:abstractNumId w:val="41"/>
  </w:num>
  <w:num w:numId="28" w16cid:durableId="1516533728">
    <w:abstractNumId w:val="29"/>
  </w:num>
  <w:num w:numId="29" w16cid:durableId="1305966758">
    <w:abstractNumId w:val="31"/>
  </w:num>
  <w:num w:numId="30" w16cid:durableId="394016874">
    <w:abstractNumId w:val="9"/>
  </w:num>
  <w:num w:numId="31" w16cid:durableId="2095859324">
    <w:abstractNumId w:val="54"/>
  </w:num>
  <w:num w:numId="32" w16cid:durableId="481697299">
    <w:abstractNumId w:val="27"/>
  </w:num>
  <w:num w:numId="33" w16cid:durableId="869609043">
    <w:abstractNumId w:val="20"/>
  </w:num>
  <w:num w:numId="34" w16cid:durableId="332268758">
    <w:abstractNumId w:val="4"/>
  </w:num>
  <w:num w:numId="35" w16cid:durableId="457184483">
    <w:abstractNumId w:val="51"/>
  </w:num>
  <w:num w:numId="36" w16cid:durableId="323364733">
    <w:abstractNumId w:val="39"/>
  </w:num>
  <w:num w:numId="37" w16cid:durableId="1623808327">
    <w:abstractNumId w:val="47"/>
  </w:num>
  <w:num w:numId="38" w16cid:durableId="349835467">
    <w:abstractNumId w:val="55"/>
  </w:num>
  <w:num w:numId="39" w16cid:durableId="714503540">
    <w:abstractNumId w:val="63"/>
  </w:num>
  <w:num w:numId="40" w16cid:durableId="114714495">
    <w:abstractNumId w:val="0"/>
  </w:num>
  <w:num w:numId="41" w16cid:durableId="35130629">
    <w:abstractNumId w:val="30"/>
  </w:num>
  <w:num w:numId="42" w16cid:durableId="1952665685">
    <w:abstractNumId w:val="17"/>
  </w:num>
  <w:num w:numId="43" w16cid:durableId="1769152965">
    <w:abstractNumId w:val="28"/>
  </w:num>
  <w:num w:numId="44" w16cid:durableId="1385324640">
    <w:abstractNumId w:val="32"/>
  </w:num>
  <w:num w:numId="45" w16cid:durableId="2097244129">
    <w:abstractNumId w:val="58"/>
  </w:num>
  <w:num w:numId="46" w16cid:durableId="953366621">
    <w:abstractNumId w:val="8"/>
  </w:num>
  <w:num w:numId="47" w16cid:durableId="585460383">
    <w:abstractNumId w:val="46"/>
  </w:num>
  <w:num w:numId="48" w16cid:durableId="1520314294">
    <w:abstractNumId w:val="33"/>
  </w:num>
  <w:num w:numId="49" w16cid:durableId="1956323255">
    <w:abstractNumId w:val="15"/>
  </w:num>
  <w:num w:numId="50" w16cid:durableId="227346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8389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724738">
    <w:abstractNumId w:val="11"/>
  </w:num>
  <w:num w:numId="53" w16cid:durableId="366835640">
    <w:abstractNumId w:val="40"/>
  </w:num>
  <w:num w:numId="54" w16cid:durableId="1871793332">
    <w:abstractNumId w:val="50"/>
  </w:num>
  <w:num w:numId="55" w16cid:durableId="1619751977">
    <w:abstractNumId w:val="1"/>
  </w:num>
  <w:num w:numId="56" w16cid:durableId="315768384">
    <w:abstractNumId w:val="31"/>
  </w:num>
  <w:num w:numId="57" w16cid:durableId="592395019">
    <w:abstractNumId w:val="49"/>
  </w:num>
  <w:num w:numId="58" w16cid:durableId="806316119">
    <w:abstractNumId w:val="13"/>
  </w:num>
  <w:num w:numId="59" w16cid:durableId="1360207666">
    <w:abstractNumId w:val="3"/>
  </w:num>
  <w:num w:numId="60" w16cid:durableId="51394466">
    <w:abstractNumId w:val="60"/>
  </w:num>
  <w:num w:numId="61" w16cid:durableId="2138987936">
    <w:abstractNumId w:val="26"/>
  </w:num>
  <w:num w:numId="62" w16cid:durableId="790632185">
    <w:abstractNumId w:val="48"/>
  </w:num>
  <w:num w:numId="63" w16cid:durableId="373651736">
    <w:abstractNumId w:val="22"/>
  </w:num>
  <w:num w:numId="64" w16cid:durableId="1134638407">
    <w:abstractNumId w:val="16"/>
  </w:num>
  <w:num w:numId="65" w16cid:durableId="1397125565">
    <w:abstractNumId w:val="19"/>
  </w:num>
  <w:num w:numId="66" w16cid:durableId="202182119">
    <w:abstractNumId w:val="35"/>
  </w:num>
  <w:num w:numId="67" w16cid:durableId="327364946">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FD"/>
    <w:rsid w:val="00002ACE"/>
    <w:rsid w:val="00016D48"/>
    <w:rsid w:val="0002478A"/>
    <w:rsid w:val="00027A12"/>
    <w:rsid w:val="00032B54"/>
    <w:rsid w:val="00033E2A"/>
    <w:rsid w:val="000426FE"/>
    <w:rsid w:val="00043673"/>
    <w:rsid w:val="00045378"/>
    <w:rsid w:val="00045BB7"/>
    <w:rsid w:val="00052802"/>
    <w:rsid w:val="000558A3"/>
    <w:rsid w:val="00061C7C"/>
    <w:rsid w:val="0006331D"/>
    <w:rsid w:val="000656DB"/>
    <w:rsid w:val="00066F85"/>
    <w:rsid w:val="00067ECE"/>
    <w:rsid w:val="000752C0"/>
    <w:rsid w:val="00076824"/>
    <w:rsid w:val="00087C5F"/>
    <w:rsid w:val="00090E8A"/>
    <w:rsid w:val="000938A1"/>
    <w:rsid w:val="00095684"/>
    <w:rsid w:val="000971D0"/>
    <w:rsid w:val="00097B7F"/>
    <w:rsid w:val="000B3F87"/>
    <w:rsid w:val="000C159F"/>
    <w:rsid w:val="000C229D"/>
    <w:rsid w:val="000C4619"/>
    <w:rsid w:val="000C4C5E"/>
    <w:rsid w:val="000C6F30"/>
    <w:rsid w:val="000D0D68"/>
    <w:rsid w:val="000D2565"/>
    <w:rsid w:val="000D6F02"/>
    <w:rsid w:val="000D76E8"/>
    <w:rsid w:val="000F54CE"/>
    <w:rsid w:val="00104B4E"/>
    <w:rsid w:val="00117D0F"/>
    <w:rsid w:val="001225FD"/>
    <w:rsid w:val="0013666A"/>
    <w:rsid w:val="001367B1"/>
    <w:rsid w:val="00143FE5"/>
    <w:rsid w:val="00151005"/>
    <w:rsid w:val="00153239"/>
    <w:rsid w:val="00160FD7"/>
    <w:rsid w:val="00161460"/>
    <w:rsid w:val="00162C61"/>
    <w:rsid w:val="00163A8B"/>
    <w:rsid w:val="001653D7"/>
    <w:rsid w:val="00166419"/>
    <w:rsid w:val="00167A13"/>
    <w:rsid w:val="00167A37"/>
    <w:rsid w:val="00171277"/>
    <w:rsid w:val="0017133E"/>
    <w:rsid w:val="001732CB"/>
    <w:rsid w:val="00175976"/>
    <w:rsid w:val="0017696A"/>
    <w:rsid w:val="001848C6"/>
    <w:rsid w:val="0019071F"/>
    <w:rsid w:val="001924B2"/>
    <w:rsid w:val="001A0D7E"/>
    <w:rsid w:val="001A4680"/>
    <w:rsid w:val="001C035D"/>
    <w:rsid w:val="001C38A4"/>
    <w:rsid w:val="001D0DDD"/>
    <w:rsid w:val="001D7109"/>
    <w:rsid w:val="001E0408"/>
    <w:rsid w:val="001E2638"/>
    <w:rsid w:val="001E4DCA"/>
    <w:rsid w:val="001E62C8"/>
    <w:rsid w:val="001F3581"/>
    <w:rsid w:val="001F7F00"/>
    <w:rsid w:val="002001CD"/>
    <w:rsid w:val="002004A4"/>
    <w:rsid w:val="00201220"/>
    <w:rsid w:val="00202549"/>
    <w:rsid w:val="002027D6"/>
    <w:rsid w:val="0021207A"/>
    <w:rsid w:val="0021501C"/>
    <w:rsid w:val="0022131C"/>
    <w:rsid w:val="00221DE6"/>
    <w:rsid w:val="00222A6A"/>
    <w:rsid w:val="002237B1"/>
    <w:rsid w:val="00225669"/>
    <w:rsid w:val="002343C8"/>
    <w:rsid w:val="00241A2B"/>
    <w:rsid w:val="002451A4"/>
    <w:rsid w:val="00251CE9"/>
    <w:rsid w:val="00254044"/>
    <w:rsid w:val="002557FA"/>
    <w:rsid w:val="002576F4"/>
    <w:rsid w:val="0026088A"/>
    <w:rsid w:val="00262914"/>
    <w:rsid w:val="00262BE8"/>
    <w:rsid w:val="00263965"/>
    <w:rsid w:val="0026468F"/>
    <w:rsid w:val="002744D2"/>
    <w:rsid w:val="0027485C"/>
    <w:rsid w:val="002753D4"/>
    <w:rsid w:val="00277857"/>
    <w:rsid w:val="00285673"/>
    <w:rsid w:val="002A704E"/>
    <w:rsid w:val="002B1524"/>
    <w:rsid w:val="002B311B"/>
    <w:rsid w:val="002C47DE"/>
    <w:rsid w:val="002C4A6E"/>
    <w:rsid w:val="002D1131"/>
    <w:rsid w:val="002D2258"/>
    <w:rsid w:val="002D2EC2"/>
    <w:rsid w:val="002D7892"/>
    <w:rsid w:val="002E2BB3"/>
    <w:rsid w:val="002E2D65"/>
    <w:rsid w:val="002E309F"/>
    <w:rsid w:val="002E594C"/>
    <w:rsid w:val="002E7AF1"/>
    <w:rsid w:val="00301A8C"/>
    <w:rsid w:val="003030E9"/>
    <w:rsid w:val="00305DCF"/>
    <w:rsid w:val="00306D84"/>
    <w:rsid w:val="00310059"/>
    <w:rsid w:val="00312B74"/>
    <w:rsid w:val="00313111"/>
    <w:rsid w:val="00325261"/>
    <w:rsid w:val="00333746"/>
    <w:rsid w:val="00335FA4"/>
    <w:rsid w:val="003368C3"/>
    <w:rsid w:val="00340B34"/>
    <w:rsid w:val="0034192B"/>
    <w:rsid w:val="00343AF4"/>
    <w:rsid w:val="00351F49"/>
    <w:rsid w:val="00352832"/>
    <w:rsid w:val="00352A65"/>
    <w:rsid w:val="00354879"/>
    <w:rsid w:val="00354BC7"/>
    <w:rsid w:val="003611CC"/>
    <w:rsid w:val="00362296"/>
    <w:rsid w:val="00363140"/>
    <w:rsid w:val="00364C70"/>
    <w:rsid w:val="00372681"/>
    <w:rsid w:val="003728B8"/>
    <w:rsid w:val="0038311A"/>
    <w:rsid w:val="00393CBC"/>
    <w:rsid w:val="003A178D"/>
    <w:rsid w:val="003A40CA"/>
    <w:rsid w:val="003A66D6"/>
    <w:rsid w:val="003B114F"/>
    <w:rsid w:val="003B348C"/>
    <w:rsid w:val="003B7C69"/>
    <w:rsid w:val="003C018C"/>
    <w:rsid w:val="003D12FE"/>
    <w:rsid w:val="003D2116"/>
    <w:rsid w:val="003D3AF0"/>
    <w:rsid w:val="003D4683"/>
    <w:rsid w:val="003D6503"/>
    <w:rsid w:val="003E4348"/>
    <w:rsid w:val="003E64BA"/>
    <w:rsid w:val="003F47F2"/>
    <w:rsid w:val="003F5356"/>
    <w:rsid w:val="003F7E72"/>
    <w:rsid w:val="00401709"/>
    <w:rsid w:val="0040287A"/>
    <w:rsid w:val="00406F82"/>
    <w:rsid w:val="004110A0"/>
    <w:rsid w:val="00413045"/>
    <w:rsid w:val="0041720E"/>
    <w:rsid w:val="00424576"/>
    <w:rsid w:val="004268BA"/>
    <w:rsid w:val="00427D4D"/>
    <w:rsid w:val="004352A4"/>
    <w:rsid w:val="00437244"/>
    <w:rsid w:val="00437440"/>
    <w:rsid w:val="00442301"/>
    <w:rsid w:val="004442BB"/>
    <w:rsid w:val="00447D74"/>
    <w:rsid w:val="00464A74"/>
    <w:rsid w:val="00466786"/>
    <w:rsid w:val="00470FD1"/>
    <w:rsid w:val="00477942"/>
    <w:rsid w:val="00480E6D"/>
    <w:rsid w:val="00490627"/>
    <w:rsid w:val="00493E4A"/>
    <w:rsid w:val="004A3895"/>
    <w:rsid w:val="004A3BEB"/>
    <w:rsid w:val="004A6D40"/>
    <w:rsid w:val="004C4A29"/>
    <w:rsid w:val="004C5DE3"/>
    <w:rsid w:val="004C6A05"/>
    <w:rsid w:val="004D48FD"/>
    <w:rsid w:val="004D52E1"/>
    <w:rsid w:val="004D7F3F"/>
    <w:rsid w:val="004F0B92"/>
    <w:rsid w:val="004F3E47"/>
    <w:rsid w:val="004F62F7"/>
    <w:rsid w:val="004F69B8"/>
    <w:rsid w:val="004F7053"/>
    <w:rsid w:val="004F794B"/>
    <w:rsid w:val="005011DE"/>
    <w:rsid w:val="005035E1"/>
    <w:rsid w:val="00515FD3"/>
    <w:rsid w:val="00516525"/>
    <w:rsid w:val="0052724D"/>
    <w:rsid w:val="00527FE5"/>
    <w:rsid w:val="005323FA"/>
    <w:rsid w:val="00534292"/>
    <w:rsid w:val="005344EA"/>
    <w:rsid w:val="0053780D"/>
    <w:rsid w:val="00540794"/>
    <w:rsid w:val="005407AF"/>
    <w:rsid w:val="00543DBB"/>
    <w:rsid w:val="00545ECF"/>
    <w:rsid w:val="00553B51"/>
    <w:rsid w:val="00553F23"/>
    <w:rsid w:val="00554BF3"/>
    <w:rsid w:val="005557AD"/>
    <w:rsid w:val="005749E6"/>
    <w:rsid w:val="005766AF"/>
    <w:rsid w:val="005800E8"/>
    <w:rsid w:val="00581601"/>
    <w:rsid w:val="00594C66"/>
    <w:rsid w:val="00597407"/>
    <w:rsid w:val="00597D1A"/>
    <w:rsid w:val="005A32FA"/>
    <w:rsid w:val="005A35F9"/>
    <w:rsid w:val="005B2549"/>
    <w:rsid w:val="005C3F59"/>
    <w:rsid w:val="005C7E83"/>
    <w:rsid w:val="005D0354"/>
    <w:rsid w:val="005D4365"/>
    <w:rsid w:val="005E1533"/>
    <w:rsid w:val="005E2BEF"/>
    <w:rsid w:val="005E49A1"/>
    <w:rsid w:val="005E5D6F"/>
    <w:rsid w:val="005E601C"/>
    <w:rsid w:val="005F1F72"/>
    <w:rsid w:val="005F7562"/>
    <w:rsid w:val="0060593C"/>
    <w:rsid w:val="00612E93"/>
    <w:rsid w:val="00615157"/>
    <w:rsid w:val="00657239"/>
    <w:rsid w:val="00662CB5"/>
    <w:rsid w:val="00663883"/>
    <w:rsid w:val="006754A9"/>
    <w:rsid w:val="00675A95"/>
    <w:rsid w:val="00676F14"/>
    <w:rsid w:val="00681313"/>
    <w:rsid w:val="00681601"/>
    <w:rsid w:val="0068560B"/>
    <w:rsid w:val="0069782A"/>
    <w:rsid w:val="006B4941"/>
    <w:rsid w:val="006B59AD"/>
    <w:rsid w:val="006C300D"/>
    <w:rsid w:val="006C4009"/>
    <w:rsid w:val="006C7AB4"/>
    <w:rsid w:val="006D695D"/>
    <w:rsid w:val="006E70FA"/>
    <w:rsid w:val="006F00FB"/>
    <w:rsid w:val="006F27F7"/>
    <w:rsid w:val="006F51BF"/>
    <w:rsid w:val="006F6CEC"/>
    <w:rsid w:val="0070535C"/>
    <w:rsid w:val="00707D26"/>
    <w:rsid w:val="00710E7B"/>
    <w:rsid w:val="0072087B"/>
    <w:rsid w:val="00724D53"/>
    <w:rsid w:val="0072768F"/>
    <w:rsid w:val="00736873"/>
    <w:rsid w:val="0074196A"/>
    <w:rsid w:val="007435AF"/>
    <w:rsid w:val="00753DCC"/>
    <w:rsid w:val="00760789"/>
    <w:rsid w:val="00767C9F"/>
    <w:rsid w:val="007701C9"/>
    <w:rsid w:val="00787A0B"/>
    <w:rsid w:val="007931B8"/>
    <w:rsid w:val="00797608"/>
    <w:rsid w:val="007A0C21"/>
    <w:rsid w:val="007A67BA"/>
    <w:rsid w:val="007A7670"/>
    <w:rsid w:val="007B3558"/>
    <w:rsid w:val="007B424E"/>
    <w:rsid w:val="007C1977"/>
    <w:rsid w:val="007D7CDA"/>
    <w:rsid w:val="007E1130"/>
    <w:rsid w:val="007F212B"/>
    <w:rsid w:val="007F6F62"/>
    <w:rsid w:val="007F742A"/>
    <w:rsid w:val="0080429F"/>
    <w:rsid w:val="00811084"/>
    <w:rsid w:val="0081207B"/>
    <w:rsid w:val="00827918"/>
    <w:rsid w:val="008331C9"/>
    <w:rsid w:val="00840DEF"/>
    <w:rsid w:val="008425BC"/>
    <w:rsid w:val="00842FD3"/>
    <w:rsid w:val="00844659"/>
    <w:rsid w:val="00855DF3"/>
    <w:rsid w:val="00861062"/>
    <w:rsid w:val="008611AF"/>
    <w:rsid w:val="00876685"/>
    <w:rsid w:val="00877159"/>
    <w:rsid w:val="008772DD"/>
    <w:rsid w:val="00883845"/>
    <w:rsid w:val="00895F22"/>
    <w:rsid w:val="008A697A"/>
    <w:rsid w:val="008B23B9"/>
    <w:rsid w:val="008B4CD5"/>
    <w:rsid w:val="008B5C63"/>
    <w:rsid w:val="008B7B83"/>
    <w:rsid w:val="008B7BCD"/>
    <w:rsid w:val="008C1C20"/>
    <w:rsid w:val="008C3AE1"/>
    <w:rsid w:val="008D666E"/>
    <w:rsid w:val="008E42A1"/>
    <w:rsid w:val="008E4633"/>
    <w:rsid w:val="008E732B"/>
    <w:rsid w:val="008F041F"/>
    <w:rsid w:val="008F27F7"/>
    <w:rsid w:val="008F6958"/>
    <w:rsid w:val="0090015B"/>
    <w:rsid w:val="00901D5D"/>
    <w:rsid w:val="009065F3"/>
    <w:rsid w:val="00906D68"/>
    <w:rsid w:val="00914972"/>
    <w:rsid w:val="00915D31"/>
    <w:rsid w:val="009171ED"/>
    <w:rsid w:val="00917664"/>
    <w:rsid w:val="0092230E"/>
    <w:rsid w:val="00930670"/>
    <w:rsid w:val="00931819"/>
    <w:rsid w:val="0093197C"/>
    <w:rsid w:val="00931F01"/>
    <w:rsid w:val="00933F8F"/>
    <w:rsid w:val="00934060"/>
    <w:rsid w:val="0094050B"/>
    <w:rsid w:val="0094480B"/>
    <w:rsid w:val="00961B87"/>
    <w:rsid w:val="00962180"/>
    <w:rsid w:val="00964C03"/>
    <w:rsid w:val="00971AA3"/>
    <w:rsid w:val="00973CDA"/>
    <w:rsid w:val="0097593E"/>
    <w:rsid w:val="0098207A"/>
    <w:rsid w:val="00993C02"/>
    <w:rsid w:val="00995080"/>
    <w:rsid w:val="009A407B"/>
    <w:rsid w:val="009B007F"/>
    <w:rsid w:val="009C1647"/>
    <w:rsid w:val="009C2409"/>
    <w:rsid w:val="009E0ABC"/>
    <w:rsid w:val="009E477C"/>
    <w:rsid w:val="009E4AEB"/>
    <w:rsid w:val="009E529E"/>
    <w:rsid w:val="009F1A73"/>
    <w:rsid w:val="009F26B4"/>
    <w:rsid w:val="00A00304"/>
    <w:rsid w:val="00A00C76"/>
    <w:rsid w:val="00A0189E"/>
    <w:rsid w:val="00A112F1"/>
    <w:rsid w:val="00A12BF8"/>
    <w:rsid w:val="00A16CC0"/>
    <w:rsid w:val="00A2003B"/>
    <w:rsid w:val="00A20360"/>
    <w:rsid w:val="00A250C7"/>
    <w:rsid w:val="00A302EC"/>
    <w:rsid w:val="00A31659"/>
    <w:rsid w:val="00A328CF"/>
    <w:rsid w:val="00A35249"/>
    <w:rsid w:val="00A44162"/>
    <w:rsid w:val="00A5205D"/>
    <w:rsid w:val="00A52813"/>
    <w:rsid w:val="00A606CA"/>
    <w:rsid w:val="00A671A5"/>
    <w:rsid w:val="00A67C8B"/>
    <w:rsid w:val="00A82BB7"/>
    <w:rsid w:val="00A90749"/>
    <w:rsid w:val="00A9190E"/>
    <w:rsid w:val="00A926C2"/>
    <w:rsid w:val="00A972A0"/>
    <w:rsid w:val="00AA5680"/>
    <w:rsid w:val="00AA6825"/>
    <w:rsid w:val="00AA6D7A"/>
    <w:rsid w:val="00AB0EAC"/>
    <w:rsid w:val="00AB13E4"/>
    <w:rsid w:val="00AB1EE6"/>
    <w:rsid w:val="00AB3C2E"/>
    <w:rsid w:val="00AB49CF"/>
    <w:rsid w:val="00AB7CEE"/>
    <w:rsid w:val="00AD5980"/>
    <w:rsid w:val="00AE323F"/>
    <w:rsid w:val="00AE3F54"/>
    <w:rsid w:val="00AE4DC0"/>
    <w:rsid w:val="00AF0608"/>
    <w:rsid w:val="00AF3E73"/>
    <w:rsid w:val="00B03341"/>
    <w:rsid w:val="00B10BF8"/>
    <w:rsid w:val="00B15D08"/>
    <w:rsid w:val="00B20221"/>
    <w:rsid w:val="00B2328E"/>
    <w:rsid w:val="00B242D5"/>
    <w:rsid w:val="00B24A52"/>
    <w:rsid w:val="00B25AFE"/>
    <w:rsid w:val="00B30F7D"/>
    <w:rsid w:val="00B34815"/>
    <w:rsid w:val="00B35DBC"/>
    <w:rsid w:val="00B4726B"/>
    <w:rsid w:val="00B472D7"/>
    <w:rsid w:val="00B5048D"/>
    <w:rsid w:val="00B521FE"/>
    <w:rsid w:val="00B55BB2"/>
    <w:rsid w:val="00B60FBE"/>
    <w:rsid w:val="00B71D26"/>
    <w:rsid w:val="00B73652"/>
    <w:rsid w:val="00B736E5"/>
    <w:rsid w:val="00B75CDF"/>
    <w:rsid w:val="00B83A26"/>
    <w:rsid w:val="00B857A6"/>
    <w:rsid w:val="00B93B7F"/>
    <w:rsid w:val="00B93D88"/>
    <w:rsid w:val="00B94DB1"/>
    <w:rsid w:val="00BA3BD4"/>
    <w:rsid w:val="00BB0BF0"/>
    <w:rsid w:val="00BC05D6"/>
    <w:rsid w:val="00BC07A2"/>
    <w:rsid w:val="00BC2913"/>
    <w:rsid w:val="00BC5CA7"/>
    <w:rsid w:val="00BC63DF"/>
    <w:rsid w:val="00BC63E6"/>
    <w:rsid w:val="00BC77BC"/>
    <w:rsid w:val="00BD1ACA"/>
    <w:rsid w:val="00BD21AD"/>
    <w:rsid w:val="00BD3B70"/>
    <w:rsid w:val="00BE6BE1"/>
    <w:rsid w:val="00BF78F9"/>
    <w:rsid w:val="00C02105"/>
    <w:rsid w:val="00C06458"/>
    <w:rsid w:val="00C06F54"/>
    <w:rsid w:val="00C07682"/>
    <w:rsid w:val="00C15972"/>
    <w:rsid w:val="00C1672B"/>
    <w:rsid w:val="00C20250"/>
    <w:rsid w:val="00C27083"/>
    <w:rsid w:val="00C32808"/>
    <w:rsid w:val="00C34844"/>
    <w:rsid w:val="00C3484D"/>
    <w:rsid w:val="00C42165"/>
    <w:rsid w:val="00C53765"/>
    <w:rsid w:val="00C540A9"/>
    <w:rsid w:val="00C5518F"/>
    <w:rsid w:val="00C55DA8"/>
    <w:rsid w:val="00C572A7"/>
    <w:rsid w:val="00C57B36"/>
    <w:rsid w:val="00C84003"/>
    <w:rsid w:val="00C85095"/>
    <w:rsid w:val="00C90FC6"/>
    <w:rsid w:val="00C96CD5"/>
    <w:rsid w:val="00CA03A2"/>
    <w:rsid w:val="00CA189D"/>
    <w:rsid w:val="00CA1AC4"/>
    <w:rsid w:val="00CC1D8D"/>
    <w:rsid w:val="00CC41B2"/>
    <w:rsid w:val="00CC6292"/>
    <w:rsid w:val="00CD04CF"/>
    <w:rsid w:val="00CE40F8"/>
    <w:rsid w:val="00CF5189"/>
    <w:rsid w:val="00D0626B"/>
    <w:rsid w:val="00D12426"/>
    <w:rsid w:val="00D12977"/>
    <w:rsid w:val="00D225CD"/>
    <w:rsid w:val="00D22E0E"/>
    <w:rsid w:val="00D342D1"/>
    <w:rsid w:val="00D40588"/>
    <w:rsid w:val="00D42F12"/>
    <w:rsid w:val="00D43D29"/>
    <w:rsid w:val="00D44A6E"/>
    <w:rsid w:val="00D47FD9"/>
    <w:rsid w:val="00D5021A"/>
    <w:rsid w:val="00D54981"/>
    <w:rsid w:val="00D5529F"/>
    <w:rsid w:val="00D55611"/>
    <w:rsid w:val="00D55823"/>
    <w:rsid w:val="00D60687"/>
    <w:rsid w:val="00D71051"/>
    <w:rsid w:val="00D744C7"/>
    <w:rsid w:val="00D76534"/>
    <w:rsid w:val="00D80225"/>
    <w:rsid w:val="00D834B4"/>
    <w:rsid w:val="00D84FFF"/>
    <w:rsid w:val="00D8584F"/>
    <w:rsid w:val="00D86E67"/>
    <w:rsid w:val="00D92104"/>
    <w:rsid w:val="00D92854"/>
    <w:rsid w:val="00D94173"/>
    <w:rsid w:val="00D9767D"/>
    <w:rsid w:val="00DA1397"/>
    <w:rsid w:val="00DA1685"/>
    <w:rsid w:val="00DA3940"/>
    <w:rsid w:val="00DA743B"/>
    <w:rsid w:val="00DB07B7"/>
    <w:rsid w:val="00DB4653"/>
    <w:rsid w:val="00DC178B"/>
    <w:rsid w:val="00DC3B58"/>
    <w:rsid w:val="00DC7CDB"/>
    <w:rsid w:val="00DC7DF9"/>
    <w:rsid w:val="00DD187C"/>
    <w:rsid w:val="00DD3B8F"/>
    <w:rsid w:val="00DD4749"/>
    <w:rsid w:val="00DD50C8"/>
    <w:rsid w:val="00DE36D0"/>
    <w:rsid w:val="00DE6650"/>
    <w:rsid w:val="00DE6A8E"/>
    <w:rsid w:val="00DF0A5A"/>
    <w:rsid w:val="00DF5F17"/>
    <w:rsid w:val="00DF7DFD"/>
    <w:rsid w:val="00E00E64"/>
    <w:rsid w:val="00E05237"/>
    <w:rsid w:val="00E12480"/>
    <w:rsid w:val="00E145D4"/>
    <w:rsid w:val="00E177D8"/>
    <w:rsid w:val="00E22088"/>
    <w:rsid w:val="00E22DAE"/>
    <w:rsid w:val="00E265A6"/>
    <w:rsid w:val="00E267AC"/>
    <w:rsid w:val="00E37300"/>
    <w:rsid w:val="00E37436"/>
    <w:rsid w:val="00E37C09"/>
    <w:rsid w:val="00E40B1B"/>
    <w:rsid w:val="00E40CCE"/>
    <w:rsid w:val="00E41BD4"/>
    <w:rsid w:val="00E46279"/>
    <w:rsid w:val="00E5151E"/>
    <w:rsid w:val="00E66900"/>
    <w:rsid w:val="00E673FD"/>
    <w:rsid w:val="00E92388"/>
    <w:rsid w:val="00E92C24"/>
    <w:rsid w:val="00E93D66"/>
    <w:rsid w:val="00E9612D"/>
    <w:rsid w:val="00E9696D"/>
    <w:rsid w:val="00E97D64"/>
    <w:rsid w:val="00EA15EB"/>
    <w:rsid w:val="00EA2905"/>
    <w:rsid w:val="00EA2C2A"/>
    <w:rsid w:val="00EA7ADE"/>
    <w:rsid w:val="00EB432C"/>
    <w:rsid w:val="00EB70B1"/>
    <w:rsid w:val="00EC0382"/>
    <w:rsid w:val="00EC07A4"/>
    <w:rsid w:val="00EC6757"/>
    <w:rsid w:val="00EC7408"/>
    <w:rsid w:val="00ED7C76"/>
    <w:rsid w:val="00EF4775"/>
    <w:rsid w:val="00EF6154"/>
    <w:rsid w:val="00F022D8"/>
    <w:rsid w:val="00F1152B"/>
    <w:rsid w:val="00F1236B"/>
    <w:rsid w:val="00F1328A"/>
    <w:rsid w:val="00F2224A"/>
    <w:rsid w:val="00F22636"/>
    <w:rsid w:val="00F24F27"/>
    <w:rsid w:val="00F41032"/>
    <w:rsid w:val="00F41039"/>
    <w:rsid w:val="00F4509F"/>
    <w:rsid w:val="00F60BA6"/>
    <w:rsid w:val="00F62BB8"/>
    <w:rsid w:val="00F648EA"/>
    <w:rsid w:val="00F652CE"/>
    <w:rsid w:val="00F72AFE"/>
    <w:rsid w:val="00F73F52"/>
    <w:rsid w:val="00F7770C"/>
    <w:rsid w:val="00F77815"/>
    <w:rsid w:val="00F81638"/>
    <w:rsid w:val="00F82993"/>
    <w:rsid w:val="00F835D8"/>
    <w:rsid w:val="00F840BF"/>
    <w:rsid w:val="00F925ED"/>
    <w:rsid w:val="00F93ACD"/>
    <w:rsid w:val="00F94C92"/>
    <w:rsid w:val="00F95F70"/>
    <w:rsid w:val="00FA1EA6"/>
    <w:rsid w:val="00FA3638"/>
    <w:rsid w:val="00FA3E3A"/>
    <w:rsid w:val="00FA4AA8"/>
    <w:rsid w:val="00FA64FF"/>
    <w:rsid w:val="00FA6BCF"/>
    <w:rsid w:val="00FB6BEF"/>
    <w:rsid w:val="00FC279A"/>
    <w:rsid w:val="00FC3A49"/>
    <w:rsid w:val="00FC633B"/>
    <w:rsid w:val="00FD4438"/>
    <w:rsid w:val="00FD4D51"/>
    <w:rsid w:val="00FD6B26"/>
    <w:rsid w:val="00FF1B22"/>
    <w:rsid w:val="00FF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CDDC2"/>
  <w15:chartTrackingRefBased/>
  <w15:docId w15:val="{9D686A2E-85E8-4B86-AC7A-969CF5D8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link w:val="Heading2Char"/>
    <w:qFormat/>
    <w:pPr>
      <w:keepNext/>
      <w:tabs>
        <w:tab w:val="left" w:pos="1440"/>
        <w:tab w:val="left" w:pos="2880"/>
        <w:tab w:val="left" w:pos="4395"/>
        <w:tab w:val="left" w:pos="5760"/>
        <w:tab w:val="left" w:pos="7560"/>
      </w:tabs>
      <w:spacing w:line="360" w:lineRule="atLeast"/>
      <w:jc w:val="both"/>
      <w:outlineLvl w:val="1"/>
    </w:pPr>
    <w:rPr>
      <w:b/>
      <w:bCs/>
      <w:sz w:val="22"/>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1440"/>
        <w:tab w:val="left" w:pos="7560"/>
      </w:tabs>
      <w:spacing w:line="360" w:lineRule="atLeast"/>
      <w:ind w:left="720" w:hanging="720"/>
      <w:jc w:val="both"/>
    </w:pPr>
    <w:rPr>
      <w:sz w:val="22"/>
    </w:rPr>
  </w:style>
  <w:style w:type="paragraph" w:styleId="BodyTextIndent2">
    <w:name w:val="Body Text Indent 2"/>
    <w:basedOn w:val="Normal"/>
    <w:pPr>
      <w:tabs>
        <w:tab w:val="left" w:pos="2160"/>
        <w:tab w:val="left" w:pos="7560"/>
      </w:tabs>
      <w:spacing w:line="360" w:lineRule="atLeast"/>
      <w:ind w:left="2160" w:hanging="2160"/>
      <w:jc w:val="both"/>
    </w:pPr>
    <w:rPr>
      <w:sz w:val="22"/>
    </w:rPr>
  </w:style>
  <w:style w:type="paragraph" w:styleId="BodyText">
    <w:name w:val="Body Text"/>
    <w:basedOn w:val="Normal"/>
    <w:pPr>
      <w:tabs>
        <w:tab w:val="left" w:pos="7560"/>
      </w:tabs>
      <w:spacing w:line="360" w:lineRule="atLeast"/>
      <w:jc w:val="both"/>
    </w:pPr>
    <w:rPr>
      <w:sz w:val="22"/>
    </w:rPr>
  </w:style>
  <w:style w:type="paragraph" w:styleId="BlockText">
    <w:name w:val="Block Text"/>
    <w:basedOn w:val="Normal"/>
    <w:pPr>
      <w:tabs>
        <w:tab w:val="left" w:pos="1440"/>
        <w:tab w:val="left" w:pos="7560"/>
      </w:tabs>
      <w:spacing w:line="360" w:lineRule="atLeast"/>
      <w:ind w:left="1418" w:right="-7" w:hanging="1418"/>
      <w:jc w:val="both"/>
    </w:pPr>
    <w:rPr>
      <w:sz w:val="22"/>
    </w:rPr>
  </w:style>
  <w:style w:type="paragraph" w:styleId="BodyTextIndent3">
    <w:name w:val="Body Text Indent 3"/>
    <w:basedOn w:val="Normal"/>
    <w:pPr>
      <w:tabs>
        <w:tab w:val="left" w:pos="1440"/>
        <w:tab w:val="left" w:pos="7560"/>
      </w:tabs>
      <w:spacing w:line="360" w:lineRule="atLeast"/>
      <w:ind w:left="1418" w:hanging="1418"/>
      <w:jc w:val="both"/>
    </w:pPr>
    <w:rPr>
      <w:sz w:val="22"/>
    </w:rPr>
  </w:style>
  <w:style w:type="paragraph" w:styleId="Title">
    <w:name w:val="Title"/>
    <w:basedOn w:val="Normal"/>
    <w:qFormat/>
    <w:pPr>
      <w:tabs>
        <w:tab w:val="left" w:pos="1440"/>
        <w:tab w:val="left" w:pos="2160"/>
        <w:tab w:val="left" w:pos="7560"/>
      </w:tabs>
      <w:spacing w:line="240" w:lineRule="atLeast"/>
      <w:ind w:left="2160" w:hanging="2160"/>
      <w:jc w:val="center"/>
    </w:pPr>
    <w:rPr>
      <w:b/>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7560"/>
      </w:tabs>
      <w:spacing w:after="120" w:line="240" w:lineRule="auto"/>
      <w:ind w:firstLine="210"/>
      <w:jc w:val="left"/>
    </w:pPr>
    <w:rPr>
      <w:sz w:val="24"/>
    </w:rPr>
  </w:style>
  <w:style w:type="paragraph" w:styleId="BodyTextFirstIndent2">
    <w:name w:val="Body Text First Indent 2"/>
    <w:basedOn w:val="BodyTextIndent"/>
    <w:pPr>
      <w:tabs>
        <w:tab w:val="clear" w:pos="1440"/>
        <w:tab w:val="clear" w:pos="7560"/>
      </w:tabs>
      <w:spacing w:after="120" w:line="240" w:lineRule="auto"/>
      <w:ind w:left="283" w:firstLine="210"/>
      <w:jc w:val="left"/>
    </w:pPr>
    <w:rPr>
      <w:sz w:val="24"/>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qFormat/>
    <w:rsid w:val="00F4509F"/>
    <w:pPr>
      <w:tabs>
        <w:tab w:val="right" w:leader="dot" w:pos="9607"/>
      </w:tabs>
    </w:pPr>
  </w:style>
  <w:style w:type="character" w:styleId="Hyperlink">
    <w:name w:val="Hyperlink"/>
    <w:uiPriority w:val="99"/>
    <w:rPr>
      <w:color w:val="0000FF"/>
      <w:u w:val="single"/>
    </w:rPr>
  </w:style>
  <w:style w:type="paragraph" w:styleId="TOC2">
    <w:name w:val="toc 2"/>
    <w:basedOn w:val="Normal"/>
    <w:next w:val="Normal"/>
    <w:autoRedefine/>
    <w:uiPriority w:val="39"/>
    <w:qFormat/>
    <w:pPr>
      <w:tabs>
        <w:tab w:val="left" w:pos="990"/>
        <w:tab w:val="right" w:leader="dot" w:pos="9597"/>
      </w:tabs>
      <w:ind w:left="240"/>
    </w:pPr>
  </w:style>
  <w:style w:type="paragraph" w:styleId="TOC3">
    <w:name w:val="toc 3"/>
    <w:basedOn w:val="Normal"/>
    <w:next w:val="Normal"/>
    <w:autoRedefine/>
    <w:uiPriority w:val="39"/>
    <w:qFormat/>
    <w:pPr>
      <w:ind w:left="48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022bulletindent2">
    <w:name w:val="022bulletindent2"/>
    <w:basedOn w:val="Normal"/>
    <w:pPr>
      <w:spacing w:before="100" w:beforeAutospacing="1" w:after="60" w:afterAutospacing="1"/>
      <w:ind w:left="1620"/>
      <w:jc w:val="both"/>
    </w:pPr>
    <w:rPr>
      <w:rFonts w:ascii="Arial" w:eastAsia="Arial Unicode MS" w:hAnsi="Arial" w:cs="Arial"/>
      <w:szCs w:val="24"/>
    </w:rPr>
  </w:style>
  <w:style w:type="character" w:customStyle="1" w:styleId="901bold">
    <w:name w:val="901bold"/>
    <w:basedOn w:val="DefaultParagraphFont"/>
  </w:style>
  <w:style w:type="character" w:customStyle="1" w:styleId="023bulletindent3">
    <w:name w:val="023bulletindent3"/>
    <w:basedOn w:val="DefaultParagraphFont"/>
  </w:style>
  <w:style w:type="paragraph" w:styleId="Caption">
    <w:name w:val="caption"/>
    <w:basedOn w:val="Normal"/>
    <w:next w:val="Normal"/>
    <w:qFormat/>
    <w:pPr>
      <w:spacing w:before="120" w:after="120"/>
    </w:pPr>
    <w:rPr>
      <w:b/>
      <w:bCs/>
      <w:sz w:val="20"/>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alloonText">
    <w:name w:val="Balloon Text"/>
    <w:basedOn w:val="Normal"/>
    <w:link w:val="BalloonTextChar"/>
    <w:semiHidden/>
    <w:rPr>
      <w:rFonts w:ascii="Tahoma" w:hAnsi="Tahoma" w:cs="Tahoma"/>
      <w:sz w:val="16"/>
      <w:szCs w:val="16"/>
    </w:rPr>
  </w:style>
  <w:style w:type="paragraph" w:customStyle="1" w:styleId="ales">
    <w:name w:val="ales"/>
    <w:basedOn w:val="Normal"/>
    <w:pPr>
      <w:tabs>
        <w:tab w:val="left" w:pos="2160"/>
      </w:tabs>
      <w:spacing w:line="360" w:lineRule="atLeast"/>
      <w:jc w:val="both"/>
    </w:pPr>
    <w:rPr>
      <w:sz w:val="20"/>
    </w:rPr>
  </w:style>
  <w:style w:type="character" w:customStyle="1" w:styleId="Heading0">
    <w:name w:val="Heading 0"/>
    <w:rPr>
      <w:rFonts w:ascii="Smith&amp;Nephew-Bold" w:hAnsi="Smith&amp;Nephew-Bold"/>
      <w:sz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wajikChar1">
    <w:name w:val="wajik Char1"/>
    <w:basedOn w:val="Normal"/>
    <w:pPr>
      <w:numPr>
        <w:numId w:val="1"/>
      </w:numPr>
      <w:jc w:val="both"/>
    </w:pPr>
    <w:rPr>
      <w:rFonts w:ascii="Verdana" w:hAnsi="Verdana"/>
      <w:bCs/>
      <w:sz w:val="18"/>
      <w:szCs w:val="24"/>
      <w:lang w:eastAsia="fr-BE"/>
    </w:rPr>
  </w:style>
  <w:style w:type="character" w:customStyle="1" w:styleId="wajikChar1Char">
    <w:name w:val="wajik Char1 Char"/>
    <w:rPr>
      <w:rFonts w:ascii="Verdana" w:hAnsi="Verdana"/>
      <w:bCs/>
      <w:sz w:val="18"/>
      <w:szCs w:val="24"/>
      <w:lang w:val="en-US" w:eastAsia="fr-BE" w:bidi="ar-SA"/>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rPr>
      <w:b/>
      <w:bCs/>
    </w:rPr>
  </w:style>
  <w:style w:type="character" w:customStyle="1" w:styleId="lojm">
    <w:name w:val="lojm"/>
    <w:semiHidden/>
    <w:rPr>
      <w:rFonts w:ascii="Arial" w:hAnsi="Arial" w:cs="Arial"/>
      <w:color w:val="auto"/>
      <w:sz w:val="20"/>
      <w:szCs w:val="20"/>
    </w:rPr>
  </w:style>
  <w:style w:type="character" w:customStyle="1" w:styleId="Heading1Char">
    <w:name w:val="Heading 1 Char"/>
    <w:rPr>
      <w:b/>
      <w:lang w:val="en-GB" w:eastAsia="en-US" w:bidi="ar-SA"/>
    </w:rPr>
  </w:style>
  <w:style w:type="paragraph" w:styleId="ListParagraph">
    <w:name w:val="List Paragraph"/>
    <w:basedOn w:val="Normal"/>
    <w:uiPriority w:val="34"/>
    <w:qFormat/>
    <w:pPr>
      <w:ind w:left="720"/>
    </w:pPr>
    <w:rPr>
      <w:szCs w:val="24"/>
    </w:rPr>
  </w:style>
  <w:style w:type="table" w:customStyle="1" w:styleId="TableGrid1">
    <w:name w:val="Table Grid1"/>
    <w:basedOn w:val="TableNormal"/>
    <w:next w:val="TableGrid"/>
    <w:uiPriority w:val="5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b/>
      <w:bCs/>
      <w:sz w:val="22"/>
      <w:lang w:val="en-GB"/>
    </w:rPr>
  </w:style>
  <w:style w:type="paragraph" w:customStyle="1" w:styleId="Default">
    <w:name w:val="Default"/>
    <w:pPr>
      <w:autoSpaceDE w:val="0"/>
      <w:autoSpaceDN w:val="0"/>
      <w:adjustRightInd w:val="0"/>
    </w:pPr>
    <w:rPr>
      <w:rFonts w:ascii="EYInterstate" w:hAnsi="EYInterstate" w:cs="EYInterstate"/>
      <w:color w:val="000000"/>
      <w:sz w:val="24"/>
      <w:szCs w:val="24"/>
    </w:rPr>
  </w:style>
  <w:style w:type="character" w:customStyle="1" w:styleId="Heading3Char">
    <w:name w:val="Heading 3 Char"/>
    <w:link w:val="Heading3"/>
    <w:rPr>
      <w:rFonts w:ascii="Arial" w:hAnsi="Arial" w:cs="Arial"/>
      <w:b/>
      <w:bCs/>
      <w:sz w:val="26"/>
      <w:szCs w:val="26"/>
      <w:lang w:val="en-GB"/>
    </w:rPr>
  </w:style>
  <w:style w:type="character" w:customStyle="1" w:styleId="FooterChar">
    <w:name w:val="Footer Char"/>
    <w:link w:val="Footer"/>
    <w:uiPriority w:val="99"/>
    <w:rPr>
      <w:sz w:val="24"/>
      <w:lang w:val="en-GB"/>
    </w:rPr>
  </w:style>
  <w:style w:type="paragraph" w:styleId="TOCHeading">
    <w:name w:val="TOC Heading"/>
    <w:basedOn w:val="Heading1"/>
    <w:next w:val="Normal"/>
    <w:uiPriority w:val="39"/>
    <w:unhideWhenUsed/>
    <w:qFormat/>
    <w:pPr>
      <w:keepLines/>
      <w:spacing w:before="480" w:line="276" w:lineRule="auto"/>
      <w:outlineLvl w:val="9"/>
    </w:pPr>
    <w:rPr>
      <w:rFonts w:ascii="Cambria" w:eastAsia="MS Gothic" w:hAnsi="Cambria"/>
      <w:bCs/>
      <w:color w:val="365F91"/>
      <w:sz w:val="28"/>
      <w:szCs w:val="28"/>
      <w:lang w:eastAsia="ja-JP"/>
    </w:rPr>
  </w:style>
  <w:style w:type="character" w:customStyle="1" w:styleId="codificationsourcestart1">
    <w:name w:val="codificationsourcestart1"/>
    <w:rPr>
      <w:vanish/>
      <w:webHidden w:val="0"/>
      <w:specVanish w:val="0"/>
    </w:rPr>
  </w:style>
  <w:style w:type="paragraph" w:styleId="Revision">
    <w:name w:val="Revision"/>
    <w:hidden/>
    <w:uiPriority w:val="99"/>
    <w:semiHidden/>
    <w:rPr>
      <w:sz w:val="24"/>
    </w:rPr>
  </w:style>
  <w:style w:type="character" w:customStyle="1" w:styleId="BalloonTextChar">
    <w:name w:val="Balloon Text Char"/>
    <w:basedOn w:val="DefaultParagraphFont"/>
    <w:link w:val="BalloonText"/>
    <w:semiHidden/>
    <w:rsid w:val="00F840BF"/>
    <w:rPr>
      <w:rFonts w:ascii="Tahoma" w:hAnsi="Tahoma" w:cs="Tahoma"/>
      <w:sz w:val="16"/>
      <w:szCs w:val="16"/>
    </w:rPr>
  </w:style>
  <w:style w:type="character" w:styleId="FollowedHyperlink">
    <w:name w:val="FollowedHyperlink"/>
    <w:basedOn w:val="DefaultParagraphFont"/>
    <w:rsid w:val="0081207B"/>
    <w:rPr>
      <w:color w:val="954F72" w:themeColor="followedHyperlink"/>
      <w:u w:val="single"/>
    </w:rPr>
  </w:style>
  <w:style w:type="character" w:styleId="EndnoteReference">
    <w:name w:val="endnote reference"/>
    <w:basedOn w:val="DefaultParagraphFont"/>
    <w:rsid w:val="00153239"/>
    <w:rPr>
      <w:vertAlign w:val="superscript"/>
    </w:rPr>
  </w:style>
  <w:style w:type="table" w:styleId="GridTable4-Accent3">
    <w:name w:val="Grid Table 4 Accent 3"/>
    <w:basedOn w:val="TableNormal"/>
    <w:uiPriority w:val="49"/>
    <w:rsid w:val="00393CB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393CB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ntstyle01">
    <w:name w:val="fontstyle01"/>
    <w:basedOn w:val="DefaultParagraphFont"/>
    <w:rsid w:val="00160FD7"/>
    <w:rPr>
      <w:rFonts w:ascii="ArialMT" w:hAnsi="ArialMT" w:hint="default"/>
      <w:b w:val="0"/>
      <w:bCs w:val="0"/>
      <w:i w:val="0"/>
      <w:iCs w:val="0"/>
      <w:color w:val="000000"/>
      <w:sz w:val="20"/>
      <w:szCs w:val="20"/>
    </w:rPr>
  </w:style>
  <w:style w:type="table" w:customStyle="1" w:styleId="TableGrid2">
    <w:name w:val="Table Grid2"/>
    <w:basedOn w:val="TableNormal"/>
    <w:next w:val="TableGrid"/>
    <w:uiPriority w:val="39"/>
    <w:rsid w:val="00A528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10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ommentTextChar">
    <w:name w:val="Comment Text Char"/>
    <w:basedOn w:val="DefaultParagraphFont"/>
    <w:link w:val="CommentText"/>
    <w:uiPriority w:val="99"/>
    <w:semiHidden/>
    <w:rsid w:val="0007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220">
      <w:bodyDiv w:val="1"/>
      <w:marLeft w:val="0"/>
      <w:marRight w:val="0"/>
      <w:marTop w:val="0"/>
      <w:marBottom w:val="0"/>
      <w:divBdr>
        <w:top w:val="none" w:sz="0" w:space="0" w:color="auto"/>
        <w:left w:val="none" w:sz="0" w:space="0" w:color="auto"/>
        <w:bottom w:val="none" w:sz="0" w:space="0" w:color="auto"/>
        <w:right w:val="none" w:sz="0" w:space="0" w:color="auto"/>
      </w:divBdr>
    </w:div>
    <w:div w:id="71853993">
      <w:bodyDiv w:val="1"/>
      <w:marLeft w:val="0"/>
      <w:marRight w:val="0"/>
      <w:marTop w:val="0"/>
      <w:marBottom w:val="0"/>
      <w:divBdr>
        <w:top w:val="none" w:sz="0" w:space="0" w:color="auto"/>
        <w:left w:val="none" w:sz="0" w:space="0" w:color="auto"/>
        <w:bottom w:val="none" w:sz="0" w:space="0" w:color="auto"/>
        <w:right w:val="none" w:sz="0" w:space="0" w:color="auto"/>
      </w:divBdr>
    </w:div>
    <w:div w:id="74477713">
      <w:bodyDiv w:val="1"/>
      <w:marLeft w:val="0"/>
      <w:marRight w:val="0"/>
      <w:marTop w:val="0"/>
      <w:marBottom w:val="0"/>
      <w:divBdr>
        <w:top w:val="none" w:sz="0" w:space="0" w:color="auto"/>
        <w:left w:val="none" w:sz="0" w:space="0" w:color="auto"/>
        <w:bottom w:val="none" w:sz="0" w:space="0" w:color="auto"/>
        <w:right w:val="none" w:sz="0" w:space="0" w:color="auto"/>
      </w:divBdr>
    </w:div>
    <w:div w:id="99495839">
      <w:bodyDiv w:val="1"/>
      <w:marLeft w:val="0"/>
      <w:marRight w:val="0"/>
      <w:marTop w:val="0"/>
      <w:marBottom w:val="0"/>
      <w:divBdr>
        <w:top w:val="none" w:sz="0" w:space="0" w:color="auto"/>
        <w:left w:val="none" w:sz="0" w:space="0" w:color="auto"/>
        <w:bottom w:val="none" w:sz="0" w:space="0" w:color="auto"/>
        <w:right w:val="none" w:sz="0" w:space="0" w:color="auto"/>
      </w:divBdr>
    </w:div>
    <w:div w:id="204564152">
      <w:bodyDiv w:val="1"/>
      <w:marLeft w:val="0"/>
      <w:marRight w:val="0"/>
      <w:marTop w:val="0"/>
      <w:marBottom w:val="0"/>
      <w:divBdr>
        <w:top w:val="none" w:sz="0" w:space="0" w:color="auto"/>
        <w:left w:val="none" w:sz="0" w:space="0" w:color="auto"/>
        <w:bottom w:val="none" w:sz="0" w:space="0" w:color="auto"/>
        <w:right w:val="none" w:sz="0" w:space="0" w:color="auto"/>
      </w:divBdr>
    </w:div>
    <w:div w:id="231935106">
      <w:bodyDiv w:val="1"/>
      <w:marLeft w:val="0"/>
      <w:marRight w:val="0"/>
      <w:marTop w:val="0"/>
      <w:marBottom w:val="0"/>
      <w:divBdr>
        <w:top w:val="none" w:sz="0" w:space="0" w:color="auto"/>
        <w:left w:val="none" w:sz="0" w:space="0" w:color="auto"/>
        <w:bottom w:val="none" w:sz="0" w:space="0" w:color="auto"/>
        <w:right w:val="none" w:sz="0" w:space="0" w:color="auto"/>
      </w:divBdr>
      <w:divsChild>
        <w:div w:id="234244418">
          <w:marLeft w:val="187"/>
          <w:marRight w:val="0"/>
          <w:marTop w:val="0"/>
          <w:marBottom w:val="0"/>
          <w:divBdr>
            <w:top w:val="none" w:sz="0" w:space="0" w:color="auto"/>
            <w:left w:val="none" w:sz="0" w:space="0" w:color="auto"/>
            <w:bottom w:val="none" w:sz="0" w:space="0" w:color="auto"/>
            <w:right w:val="none" w:sz="0" w:space="0" w:color="auto"/>
          </w:divBdr>
        </w:div>
        <w:div w:id="236793741">
          <w:marLeft w:val="187"/>
          <w:marRight w:val="0"/>
          <w:marTop w:val="0"/>
          <w:marBottom w:val="0"/>
          <w:divBdr>
            <w:top w:val="none" w:sz="0" w:space="0" w:color="auto"/>
            <w:left w:val="none" w:sz="0" w:space="0" w:color="auto"/>
            <w:bottom w:val="none" w:sz="0" w:space="0" w:color="auto"/>
            <w:right w:val="none" w:sz="0" w:space="0" w:color="auto"/>
          </w:divBdr>
        </w:div>
        <w:div w:id="1653018078">
          <w:marLeft w:val="187"/>
          <w:marRight w:val="0"/>
          <w:marTop w:val="0"/>
          <w:marBottom w:val="0"/>
          <w:divBdr>
            <w:top w:val="none" w:sz="0" w:space="0" w:color="auto"/>
            <w:left w:val="none" w:sz="0" w:space="0" w:color="auto"/>
            <w:bottom w:val="none" w:sz="0" w:space="0" w:color="auto"/>
            <w:right w:val="none" w:sz="0" w:space="0" w:color="auto"/>
          </w:divBdr>
        </w:div>
      </w:divsChild>
    </w:div>
    <w:div w:id="400905834">
      <w:bodyDiv w:val="1"/>
      <w:marLeft w:val="0"/>
      <w:marRight w:val="0"/>
      <w:marTop w:val="0"/>
      <w:marBottom w:val="0"/>
      <w:divBdr>
        <w:top w:val="none" w:sz="0" w:space="0" w:color="auto"/>
        <w:left w:val="none" w:sz="0" w:space="0" w:color="auto"/>
        <w:bottom w:val="none" w:sz="0" w:space="0" w:color="auto"/>
        <w:right w:val="none" w:sz="0" w:space="0" w:color="auto"/>
      </w:divBdr>
    </w:div>
    <w:div w:id="424768614">
      <w:bodyDiv w:val="1"/>
      <w:marLeft w:val="0"/>
      <w:marRight w:val="0"/>
      <w:marTop w:val="0"/>
      <w:marBottom w:val="0"/>
      <w:divBdr>
        <w:top w:val="none" w:sz="0" w:space="0" w:color="auto"/>
        <w:left w:val="none" w:sz="0" w:space="0" w:color="auto"/>
        <w:bottom w:val="none" w:sz="0" w:space="0" w:color="auto"/>
        <w:right w:val="none" w:sz="0" w:space="0" w:color="auto"/>
      </w:divBdr>
    </w:div>
    <w:div w:id="507670662">
      <w:bodyDiv w:val="1"/>
      <w:marLeft w:val="0"/>
      <w:marRight w:val="0"/>
      <w:marTop w:val="0"/>
      <w:marBottom w:val="0"/>
      <w:divBdr>
        <w:top w:val="none" w:sz="0" w:space="0" w:color="auto"/>
        <w:left w:val="none" w:sz="0" w:space="0" w:color="auto"/>
        <w:bottom w:val="none" w:sz="0" w:space="0" w:color="auto"/>
        <w:right w:val="none" w:sz="0" w:space="0" w:color="auto"/>
      </w:divBdr>
    </w:div>
    <w:div w:id="525561439">
      <w:bodyDiv w:val="1"/>
      <w:marLeft w:val="0"/>
      <w:marRight w:val="0"/>
      <w:marTop w:val="0"/>
      <w:marBottom w:val="0"/>
      <w:divBdr>
        <w:top w:val="none" w:sz="0" w:space="0" w:color="auto"/>
        <w:left w:val="none" w:sz="0" w:space="0" w:color="auto"/>
        <w:bottom w:val="none" w:sz="0" w:space="0" w:color="auto"/>
        <w:right w:val="none" w:sz="0" w:space="0" w:color="auto"/>
      </w:divBdr>
      <w:divsChild>
        <w:div w:id="356543454">
          <w:marLeft w:val="187"/>
          <w:marRight w:val="0"/>
          <w:marTop w:val="0"/>
          <w:marBottom w:val="0"/>
          <w:divBdr>
            <w:top w:val="none" w:sz="0" w:space="0" w:color="auto"/>
            <w:left w:val="none" w:sz="0" w:space="0" w:color="auto"/>
            <w:bottom w:val="none" w:sz="0" w:space="0" w:color="auto"/>
            <w:right w:val="none" w:sz="0" w:space="0" w:color="auto"/>
          </w:divBdr>
        </w:div>
        <w:div w:id="1423913024">
          <w:marLeft w:val="187"/>
          <w:marRight w:val="0"/>
          <w:marTop w:val="0"/>
          <w:marBottom w:val="0"/>
          <w:divBdr>
            <w:top w:val="none" w:sz="0" w:space="0" w:color="auto"/>
            <w:left w:val="none" w:sz="0" w:space="0" w:color="auto"/>
            <w:bottom w:val="none" w:sz="0" w:space="0" w:color="auto"/>
            <w:right w:val="none" w:sz="0" w:space="0" w:color="auto"/>
          </w:divBdr>
        </w:div>
        <w:div w:id="1787843752">
          <w:marLeft w:val="187"/>
          <w:marRight w:val="0"/>
          <w:marTop w:val="0"/>
          <w:marBottom w:val="0"/>
          <w:divBdr>
            <w:top w:val="none" w:sz="0" w:space="0" w:color="auto"/>
            <w:left w:val="none" w:sz="0" w:space="0" w:color="auto"/>
            <w:bottom w:val="none" w:sz="0" w:space="0" w:color="auto"/>
            <w:right w:val="none" w:sz="0" w:space="0" w:color="auto"/>
          </w:divBdr>
        </w:div>
        <w:div w:id="2092652851">
          <w:marLeft w:val="187"/>
          <w:marRight w:val="0"/>
          <w:marTop w:val="0"/>
          <w:marBottom w:val="0"/>
          <w:divBdr>
            <w:top w:val="none" w:sz="0" w:space="0" w:color="auto"/>
            <w:left w:val="none" w:sz="0" w:space="0" w:color="auto"/>
            <w:bottom w:val="none" w:sz="0" w:space="0" w:color="auto"/>
            <w:right w:val="none" w:sz="0" w:space="0" w:color="auto"/>
          </w:divBdr>
        </w:div>
      </w:divsChild>
    </w:div>
    <w:div w:id="531302844">
      <w:bodyDiv w:val="1"/>
      <w:marLeft w:val="0"/>
      <w:marRight w:val="0"/>
      <w:marTop w:val="150"/>
      <w:marBottom w:val="0"/>
      <w:divBdr>
        <w:top w:val="none" w:sz="0" w:space="0" w:color="auto"/>
        <w:left w:val="none" w:sz="0" w:space="0" w:color="auto"/>
        <w:bottom w:val="none" w:sz="0" w:space="0" w:color="auto"/>
        <w:right w:val="none" w:sz="0" w:space="0" w:color="auto"/>
      </w:divBdr>
      <w:divsChild>
        <w:div w:id="494691336">
          <w:marLeft w:val="0"/>
          <w:marRight w:val="0"/>
          <w:marTop w:val="0"/>
          <w:marBottom w:val="0"/>
          <w:divBdr>
            <w:top w:val="none" w:sz="0" w:space="0" w:color="auto"/>
            <w:left w:val="none" w:sz="0" w:space="0" w:color="auto"/>
            <w:bottom w:val="none" w:sz="0" w:space="0" w:color="auto"/>
            <w:right w:val="none" w:sz="0" w:space="0" w:color="auto"/>
          </w:divBdr>
          <w:divsChild>
            <w:div w:id="1071923802">
              <w:marLeft w:val="0"/>
              <w:marRight w:val="0"/>
              <w:marTop w:val="0"/>
              <w:marBottom w:val="0"/>
              <w:divBdr>
                <w:top w:val="none" w:sz="0" w:space="0" w:color="auto"/>
                <w:left w:val="none" w:sz="0" w:space="0" w:color="auto"/>
                <w:bottom w:val="none" w:sz="0" w:space="0" w:color="auto"/>
                <w:right w:val="none" w:sz="0" w:space="0" w:color="auto"/>
              </w:divBdr>
              <w:divsChild>
                <w:div w:id="333726139">
                  <w:marLeft w:val="0"/>
                  <w:marRight w:val="0"/>
                  <w:marTop w:val="0"/>
                  <w:marBottom w:val="0"/>
                  <w:divBdr>
                    <w:top w:val="none" w:sz="0" w:space="0" w:color="auto"/>
                    <w:left w:val="none" w:sz="0" w:space="0" w:color="auto"/>
                    <w:bottom w:val="none" w:sz="0" w:space="0" w:color="auto"/>
                    <w:right w:val="none" w:sz="0" w:space="0" w:color="auto"/>
                  </w:divBdr>
                  <w:divsChild>
                    <w:div w:id="1077747551">
                      <w:marLeft w:val="0"/>
                      <w:marRight w:val="0"/>
                      <w:marTop w:val="0"/>
                      <w:marBottom w:val="0"/>
                      <w:divBdr>
                        <w:top w:val="none" w:sz="0" w:space="0" w:color="auto"/>
                        <w:left w:val="none" w:sz="0" w:space="0" w:color="auto"/>
                        <w:bottom w:val="none" w:sz="0" w:space="0" w:color="auto"/>
                        <w:right w:val="none" w:sz="0" w:space="0" w:color="auto"/>
                      </w:divBdr>
                      <w:divsChild>
                        <w:div w:id="822085674">
                          <w:marLeft w:val="0"/>
                          <w:marRight w:val="0"/>
                          <w:marTop w:val="0"/>
                          <w:marBottom w:val="0"/>
                          <w:divBdr>
                            <w:top w:val="none" w:sz="0" w:space="0" w:color="auto"/>
                            <w:left w:val="none" w:sz="0" w:space="0" w:color="auto"/>
                            <w:bottom w:val="none" w:sz="0" w:space="0" w:color="auto"/>
                            <w:right w:val="none" w:sz="0" w:space="0" w:color="auto"/>
                          </w:divBdr>
                          <w:divsChild>
                            <w:div w:id="156381912">
                              <w:marLeft w:val="0"/>
                              <w:marRight w:val="0"/>
                              <w:marTop w:val="0"/>
                              <w:marBottom w:val="0"/>
                              <w:divBdr>
                                <w:top w:val="none" w:sz="0" w:space="0" w:color="auto"/>
                                <w:left w:val="none" w:sz="0" w:space="0" w:color="auto"/>
                                <w:bottom w:val="none" w:sz="0" w:space="0" w:color="auto"/>
                                <w:right w:val="none" w:sz="0" w:space="0" w:color="auto"/>
                              </w:divBdr>
                            </w:div>
                            <w:div w:id="598375639">
                              <w:marLeft w:val="0"/>
                              <w:marRight w:val="0"/>
                              <w:marTop w:val="0"/>
                              <w:marBottom w:val="0"/>
                              <w:divBdr>
                                <w:top w:val="none" w:sz="0" w:space="0" w:color="auto"/>
                                <w:left w:val="none" w:sz="0" w:space="0" w:color="auto"/>
                                <w:bottom w:val="none" w:sz="0" w:space="0" w:color="auto"/>
                                <w:right w:val="none" w:sz="0" w:space="0" w:color="auto"/>
                              </w:divBdr>
                            </w:div>
                            <w:div w:id="1223636327">
                              <w:marLeft w:val="0"/>
                              <w:marRight w:val="0"/>
                              <w:marTop w:val="0"/>
                              <w:marBottom w:val="0"/>
                              <w:divBdr>
                                <w:top w:val="none" w:sz="0" w:space="0" w:color="auto"/>
                                <w:left w:val="none" w:sz="0" w:space="0" w:color="auto"/>
                                <w:bottom w:val="none" w:sz="0" w:space="0" w:color="auto"/>
                                <w:right w:val="none" w:sz="0" w:space="0" w:color="auto"/>
                              </w:divBdr>
                            </w:div>
                            <w:div w:id="1294939732">
                              <w:marLeft w:val="0"/>
                              <w:marRight w:val="0"/>
                              <w:marTop w:val="0"/>
                              <w:marBottom w:val="0"/>
                              <w:divBdr>
                                <w:top w:val="none" w:sz="0" w:space="0" w:color="auto"/>
                                <w:left w:val="none" w:sz="0" w:space="0" w:color="auto"/>
                                <w:bottom w:val="none" w:sz="0" w:space="0" w:color="auto"/>
                                <w:right w:val="none" w:sz="0" w:space="0" w:color="auto"/>
                              </w:divBdr>
                            </w:div>
                            <w:div w:id="1487817157">
                              <w:marLeft w:val="0"/>
                              <w:marRight w:val="0"/>
                              <w:marTop w:val="0"/>
                              <w:marBottom w:val="0"/>
                              <w:divBdr>
                                <w:top w:val="none" w:sz="0" w:space="0" w:color="auto"/>
                                <w:left w:val="none" w:sz="0" w:space="0" w:color="auto"/>
                                <w:bottom w:val="none" w:sz="0" w:space="0" w:color="auto"/>
                                <w:right w:val="none" w:sz="0" w:space="0" w:color="auto"/>
                              </w:divBdr>
                            </w:div>
                            <w:div w:id="18567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404">
      <w:bodyDiv w:val="1"/>
      <w:marLeft w:val="0"/>
      <w:marRight w:val="0"/>
      <w:marTop w:val="0"/>
      <w:marBottom w:val="0"/>
      <w:divBdr>
        <w:top w:val="none" w:sz="0" w:space="0" w:color="auto"/>
        <w:left w:val="none" w:sz="0" w:space="0" w:color="auto"/>
        <w:bottom w:val="none" w:sz="0" w:space="0" w:color="auto"/>
        <w:right w:val="none" w:sz="0" w:space="0" w:color="auto"/>
      </w:divBdr>
    </w:div>
    <w:div w:id="576746072">
      <w:bodyDiv w:val="1"/>
      <w:marLeft w:val="0"/>
      <w:marRight w:val="0"/>
      <w:marTop w:val="0"/>
      <w:marBottom w:val="0"/>
      <w:divBdr>
        <w:top w:val="none" w:sz="0" w:space="0" w:color="auto"/>
        <w:left w:val="none" w:sz="0" w:space="0" w:color="auto"/>
        <w:bottom w:val="none" w:sz="0" w:space="0" w:color="auto"/>
        <w:right w:val="none" w:sz="0" w:space="0" w:color="auto"/>
      </w:divBdr>
    </w:div>
    <w:div w:id="577519812">
      <w:bodyDiv w:val="1"/>
      <w:marLeft w:val="0"/>
      <w:marRight w:val="0"/>
      <w:marTop w:val="0"/>
      <w:marBottom w:val="0"/>
      <w:divBdr>
        <w:top w:val="none" w:sz="0" w:space="0" w:color="auto"/>
        <w:left w:val="none" w:sz="0" w:space="0" w:color="auto"/>
        <w:bottom w:val="none" w:sz="0" w:space="0" w:color="auto"/>
        <w:right w:val="none" w:sz="0" w:space="0" w:color="auto"/>
      </w:divBdr>
    </w:div>
    <w:div w:id="642079200">
      <w:bodyDiv w:val="1"/>
      <w:marLeft w:val="0"/>
      <w:marRight w:val="0"/>
      <w:marTop w:val="0"/>
      <w:marBottom w:val="0"/>
      <w:divBdr>
        <w:top w:val="none" w:sz="0" w:space="0" w:color="auto"/>
        <w:left w:val="none" w:sz="0" w:space="0" w:color="auto"/>
        <w:bottom w:val="none" w:sz="0" w:space="0" w:color="auto"/>
        <w:right w:val="none" w:sz="0" w:space="0" w:color="auto"/>
      </w:divBdr>
    </w:div>
    <w:div w:id="735520035">
      <w:bodyDiv w:val="1"/>
      <w:marLeft w:val="0"/>
      <w:marRight w:val="0"/>
      <w:marTop w:val="0"/>
      <w:marBottom w:val="0"/>
      <w:divBdr>
        <w:top w:val="none" w:sz="0" w:space="0" w:color="auto"/>
        <w:left w:val="none" w:sz="0" w:space="0" w:color="auto"/>
        <w:bottom w:val="none" w:sz="0" w:space="0" w:color="auto"/>
        <w:right w:val="none" w:sz="0" w:space="0" w:color="auto"/>
      </w:divBdr>
    </w:div>
    <w:div w:id="767504704">
      <w:bodyDiv w:val="1"/>
      <w:marLeft w:val="0"/>
      <w:marRight w:val="0"/>
      <w:marTop w:val="0"/>
      <w:marBottom w:val="0"/>
      <w:divBdr>
        <w:top w:val="none" w:sz="0" w:space="0" w:color="auto"/>
        <w:left w:val="none" w:sz="0" w:space="0" w:color="auto"/>
        <w:bottom w:val="none" w:sz="0" w:space="0" w:color="auto"/>
        <w:right w:val="none" w:sz="0" w:space="0" w:color="auto"/>
      </w:divBdr>
    </w:div>
    <w:div w:id="767576507">
      <w:bodyDiv w:val="1"/>
      <w:marLeft w:val="0"/>
      <w:marRight w:val="0"/>
      <w:marTop w:val="0"/>
      <w:marBottom w:val="0"/>
      <w:divBdr>
        <w:top w:val="none" w:sz="0" w:space="0" w:color="auto"/>
        <w:left w:val="none" w:sz="0" w:space="0" w:color="auto"/>
        <w:bottom w:val="none" w:sz="0" w:space="0" w:color="auto"/>
        <w:right w:val="none" w:sz="0" w:space="0" w:color="auto"/>
      </w:divBdr>
      <w:divsChild>
        <w:div w:id="608241073">
          <w:marLeft w:val="187"/>
          <w:marRight w:val="0"/>
          <w:marTop w:val="0"/>
          <w:marBottom w:val="0"/>
          <w:divBdr>
            <w:top w:val="none" w:sz="0" w:space="0" w:color="auto"/>
            <w:left w:val="none" w:sz="0" w:space="0" w:color="auto"/>
            <w:bottom w:val="none" w:sz="0" w:space="0" w:color="auto"/>
            <w:right w:val="none" w:sz="0" w:space="0" w:color="auto"/>
          </w:divBdr>
        </w:div>
        <w:div w:id="954219256">
          <w:marLeft w:val="187"/>
          <w:marRight w:val="0"/>
          <w:marTop w:val="0"/>
          <w:marBottom w:val="0"/>
          <w:divBdr>
            <w:top w:val="none" w:sz="0" w:space="0" w:color="auto"/>
            <w:left w:val="none" w:sz="0" w:space="0" w:color="auto"/>
            <w:bottom w:val="none" w:sz="0" w:space="0" w:color="auto"/>
            <w:right w:val="none" w:sz="0" w:space="0" w:color="auto"/>
          </w:divBdr>
        </w:div>
        <w:div w:id="962343667">
          <w:marLeft w:val="187"/>
          <w:marRight w:val="0"/>
          <w:marTop w:val="0"/>
          <w:marBottom w:val="0"/>
          <w:divBdr>
            <w:top w:val="none" w:sz="0" w:space="0" w:color="auto"/>
            <w:left w:val="none" w:sz="0" w:space="0" w:color="auto"/>
            <w:bottom w:val="none" w:sz="0" w:space="0" w:color="auto"/>
            <w:right w:val="none" w:sz="0" w:space="0" w:color="auto"/>
          </w:divBdr>
        </w:div>
        <w:div w:id="1056319988">
          <w:marLeft w:val="187"/>
          <w:marRight w:val="0"/>
          <w:marTop w:val="0"/>
          <w:marBottom w:val="0"/>
          <w:divBdr>
            <w:top w:val="none" w:sz="0" w:space="0" w:color="auto"/>
            <w:left w:val="none" w:sz="0" w:space="0" w:color="auto"/>
            <w:bottom w:val="none" w:sz="0" w:space="0" w:color="auto"/>
            <w:right w:val="none" w:sz="0" w:space="0" w:color="auto"/>
          </w:divBdr>
        </w:div>
        <w:div w:id="1205367714">
          <w:marLeft w:val="187"/>
          <w:marRight w:val="0"/>
          <w:marTop w:val="0"/>
          <w:marBottom w:val="0"/>
          <w:divBdr>
            <w:top w:val="none" w:sz="0" w:space="0" w:color="auto"/>
            <w:left w:val="none" w:sz="0" w:space="0" w:color="auto"/>
            <w:bottom w:val="none" w:sz="0" w:space="0" w:color="auto"/>
            <w:right w:val="none" w:sz="0" w:space="0" w:color="auto"/>
          </w:divBdr>
        </w:div>
        <w:div w:id="1522620130">
          <w:marLeft w:val="187"/>
          <w:marRight w:val="0"/>
          <w:marTop w:val="0"/>
          <w:marBottom w:val="0"/>
          <w:divBdr>
            <w:top w:val="none" w:sz="0" w:space="0" w:color="auto"/>
            <w:left w:val="none" w:sz="0" w:space="0" w:color="auto"/>
            <w:bottom w:val="none" w:sz="0" w:space="0" w:color="auto"/>
            <w:right w:val="none" w:sz="0" w:space="0" w:color="auto"/>
          </w:divBdr>
        </w:div>
        <w:div w:id="1764378525">
          <w:marLeft w:val="187"/>
          <w:marRight w:val="0"/>
          <w:marTop w:val="0"/>
          <w:marBottom w:val="0"/>
          <w:divBdr>
            <w:top w:val="none" w:sz="0" w:space="0" w:color="auto"/>
            <w:left w:val="none" w:sz="0" w:space="0" w:color="auto"/>
            <w:bottom w:val="none" w:sz="0" w:space="0" w:color="auto"/>
            <w:right w:val="none" w:sz="0" w:space="0" w:color="auto"/>
          </w:divBdr>
        </w:div>
        <w:div w:id="1778015344">
          <w:marLeft w:val="187"/>
          <w:marRight w:val="0"/>
          <w:marTop w:val="0"/>
          <w:marBottom w:val="0"/>
          <w:divBdr>
            <w:top w:val="none" w:sz="0" w:space="0" w:color="auto"/>
            <w:left w:val="none" w:sz="0" w:space="0" w:color="auto"/>
            <w:bottom w:val="none" w:sz="0" w:space="0" w:color="auto"/>
            <w:right w:val="none" w:sz="0" w:space="0" w:color="auto"/>
          </w:divBdr>
        </w:div>
        <w:div w:id="2036156553">
          <w:marLeft w:val="187"/>
          <w:marRight w:val="0"/>
          <w:marTop w:val="0"/>
          <w:marBottom w:val="0"/>
          <w:divBdr>
            <w:top w:val="none" w:sz="0" w:space="0" w:color="auto"/>
            <w:left w:val="none" w:sz="0" w:space="0" w:color="auto"/>
            <w:bottom w:val="none" w:sz="0" w:space="0" w:color="auto"/>
            <w:right w:val="none" w:sz="0" w:space="0" w:color="auto"/>
          </w:divBdr>
        </w:div>
      </w:divsChild>
    </w:div>
    <w:div w:id="879172369">
      <w:bodyDiv w:val="1"/>
      <w:marLeft w:val="0"/>
      <w:marRight w:val="0"/>
      <w:marTop w:val="0"/>
      <w:marBottom w:val="0"/>
      <w:divBdr>
        <w:top w:val="none" w:sz="0" w:space="0" w:color="auto"/>
        <w:left w:val="none" w:sz="0" w:space="0" w:color="auto"/>
        <w:bottom w:val="none" w:sz="0" w:space="0" w:color="auto"/>
        <w:right w:val="none" w:sz="0" w:space="0" w:color="auto"/>
      </w:divBdr>
      <w:divsChild>
        <w:div w:id="701252154">
          <w:marLeft w:val="187"/>
          <w:marRight w:val="0"/>
          <w:marTop w:val="0"/>
          <w:marBottom w:val="0"/>
          <w:divBdr>
            <w:top w:val="none" w:sz="0" w:space="0" w:color="auto"/>
            <w:left w:val="none" w:sz="0" w:space="0" w:color="auto"/>
            <w:bottom w:val="none" w:sz="0" w:space="0" w:color="auto"/>
            <w:right w:val="none" w:sz="0" w:space="0" w:color="auto"/>
          </w:divBdr>
        </w:div>
        <w:div w:id="789517822">
          <w:marLeft w:val="187"/>
          <w:marRight w:val="0"/>
          <w:marTop w:val="0"/>
          <w:marBottom w:val="0"/>
          <w:divBdr>
            <w:top w:val="none" w:sz="0" w:space="0" w:color="auto"/>
            <w:left w:val="none" w:sz="0" w:space="0" w:color="auto"/>
            <w:bottom w:val="none" w:sz="0" w:space="0" w:color="auto"/>
            <w:right w:val="none" w:sz="0" w:space="0" w:color="auto"/>
          </w:divBdr>
        </w:div>
      </w:divsChild>
    </w:div>
    <w:div w:id="880897213">
      <w:bodyDiv w:val="1"/>
      <w:marLeft w:val="0"/>
      <w:marRight w:val="0"/>
      <w:marTop w:val="0"/>
      <w:marBottom w:val="0"/>
      <w:divBdr>
        <w:top w:val="none" w:sz="0" w:space="0" w:color="auto"/>
        <w:left w:val="none" w:sz="0" w:space="0" w:color="auto"/>
        <w:bottom w:val="none" w:sz="0" w:space="0" w:color="auto"/>
        <w:right w:val="none" w:sz="0" w:space="0" w:color="auto"/>
      </w:divBdr>
    </w:div>
    <w:div w:id="884875378">
      <w:bodyDiv w:val="1"/>
      <w:marLeft w:val="0"/>
      <w:marRight w:val="0"/>
      <w:marTop w:val="0"/>
      <w:marBottom w:val="0"/>
      <w:divBdr>
        <w:top w:val="none" w:sz="0" w:space="0" w:color="auto"/>
        <w:left w:val="none" w:sz="0" w:space="0" w:color="auto"/>
        <w:bottom w:val="none" w:sz="0" w:space="0" w:color="auto"/>
        <w:right w:val="none" w:sz="0" w:space="0" w:color="auto"/>
      </w:divBdr>
    </w:div>
    <w:div w:id="1013217116">
      <w:bodyDiv w:val="1"/>
      <w:marLeft w:val="0"/>
      <w:marRight w:val="0"/>
      <w:marTop w:val="0"/>
      <w:marBottom w:val="0"/>
      <w:divBdr>
        <w:top w:val="none" w:sz="0" w:space="0" w:color="auto"/>
        <w:left w:val="none" w:sz="0" w:space="0" w:color="auto"/>
        <w:bottom w:val="none" w:sz="0" w:space="0" w:color="auto"/>
        <w:right w:val="none" w:sz="0" w:space="0" w:color="auto"/>
      </w:divBdr>
    </w:div>
    <w:div w:id="1064833641">
      <w:bodyDiv w:val="1"/>
      <w:marLeft w:val="0"/>
      <w:marRight w:val="0"/>
      <w:marTop w:val="0"/>
      <w:marBottom w:val="0"/>
      <w:divBdr>
        <w:top w:val="none" w:sz="0" w:space="0" w:color="auto"/>
        <w:left w:val="none" w:sz="0" w:space="0" w:color="auto"/>
        <w:bottom w:val="none" w:sz="0" w:space="0" w:color="auto"/>
        <w:right w:val="none" w:sz="0" w:space="0" w:color="auto"/>
      </w:divBdr>
    </w:div>
    <w:div w:id="1140996925">
      <w:bodyDiv w:val="1"/>
      <w:marLeft w:val="0"/>
      <w:marRight w:val="0"/>
      <w:marTop w:val="0"/>
      <w:marBottom w:val="0"/>
      <w:divBdr>
        <w:top w:val="none" w:sz="0" w:space="0" w:color="auto"/>
        <w:left w:val="none" w:sz="0" w:space="0" w:color="auto"/>
        <w:bottom w:val="none" w:sz="0" w:space="0" w:color="auto"/>
        <w:right w:val="none" w:sz="0" w:space="0" w:color="auto"/>
      </w:divBdr>
    </w:div>
    <w:div w:id="1237201995">
      <w:bodyDiv w:val="1"/>
      <w:marLeft w:val="0"/>
      <w:marRight w:val="0"/>
      <w:marTop w:val="0"/>
      <w:marBottom w:val="0"/>
      <w:divBdr>
        <w:top w:val="none" w:sz="0" w:space="0" w:color="auto"/>
        <w:left w:val="none" w:sz="0" w:space="0" w:color="auto"/>
        <w:bottom w:val="none" w:sz="0" w:space="0" w:color="auto"/>
        <w:right w:val="none" w:sz="0" w:space="0" w:color="auto"/>
      </w:divBdr>
    </w:div>
    <w:div w:id="1261643402">
      <w:bodyDiv w:val="1"/>
      <w:marLeft w:val="0"/>
      <w:marRight w:val="0"/>
      <w:marTop w:val="0"/>
      <w:marBottom w:val="0"/>
      <w:divBdr>
        <w:top w:val="none" w:sz="0" w:space="0" w:color="auto"/>
        <w:left w:val="none" w:sz="0" w:space="0" w:color="auto"/>
        <w:bottom w:val="none" w:sz="0" w:space="0" w:color="auto"/>
        <w:right w:val="none" w:sz="0" w:space="0" w:color="auto"/>
      </w:divBdr>
    </w:div>
    <w:div w:id="1276249061">
      <w:bodyDiv w:val="1"/>
      <w:marLeft w:val="0"/>
      <w:marRight w:val="0"/>
      <w:marTop w:val="0"/>
      <w:marBottom w:val="0"/>
      <w:divBdr>
        <w:top w:val="none" w:sz="0" w:space="0" w:color="auto"/>
        <w:left w:val="none" w:sz="0" w:space="0" w:color="auto"/>
        <w:bottom w:val="none" w:sz="0" w:space="0" w:color="auto"/>
        <w:right w:val="none" w:sz="0" w:space="0" w:color="auto"/>
      </w:divBdr>
    </w:div>
    <w:div w:id="1312248100">
      <w:bodyDiv w:val="1"/>
      <w:marLeft w:val="0"/>
      <w:marRight w:val="0"/>
      <w:marTop w:val="0"/>
      <w:marBottom w:val="0"/>
      <w:divBdr>
        <w:top w:val="none" w:sz="0" w:space="0" w:color="auto"/>
        <w:left w:val="none" w:sz="0" w:space="0" w:color="auto"/>
        <w:bottom w:val="none" w:sz="0" w:space="0" w:color="auto"/>
        <w:right w:val="none" w:sz="0" w:space="0" w:color="auto"/>
      </w:divBdr>
    </w:div>
    <w:div w:id="1339962803">
      <w:bodyDiv w:val="1"/>
      <w:marLeft w:val="0"/>
      <w:marRight w:val="0"/>
      <w:marTop w:val="0"/>
      <w:marBottom w:val="0"/>
      <w:divBdr>
        <w:top w:val="none" w:sz="0" w:space="0" w:color="auto"/>
        <w:left w:val="none" w:sz="0" w:space="0" w:color="auto"/>
        <w:bottom w:val="none" w:sz="0" w:space="0" w:color="auto"/>
        <w:right w:val="none" w:sz="0" w:space="0" w:color="auto"/>
      </w:divBdr>
    </w:div>
    <w:div w:id="1341851132">
      <w:bodyDiv w:val="1"/>
      <w:marLeft w:val="0"/>
      <w:marRight w:val="0"/>
      <w:marTop w:val="0"/>
      <w:marBottom w:val="0"/>
      <w:divBdr>
        <w:top w:val="none" w:sz="0" w:space="0" w:color="auto"/>
        <w:left w:val="none" w:sz="0" w:space="0" w:color="auto"/>
        <w:bottom w:val="none" w:sz="0" w:space="0" w:color="auto"/>
        <w:right w:val="none" w:sz="0" w:space="0" w:color="auto"/>
      </w:divBdr>
    </w:div>
    <w:div w:id="1396970278">
      <w:bodyDiv w:val="1"/>
      <w:marLeft w:val="0"/>
      <w:marRight w:val="0"/>
      <w:marTop w:val="150"/>
      <w:marBottom w:val="0"/>
      <w:divBdr>
        <w:top w:val="none" w:sz="0" w:space="0" w:color="auto"/>
        <w:left w:val="none" w:sz="0" w:space="0" w:color="auto"/>
        <w:bottom w:val="none" w:sz="0" w:space="0" w:color="auto"/>
        <w:right w:val="none" w:sz="0" w:space="0" w:color="auto"/>
      </w:divBdr>
      <w:divsChild>
        <w:div w:id="339821495">
          <w:marLeft w:val="0"/>
          <w:marRight w:val="0"/>
          <w:marTop w:val="0"/>
          <w:marBottom w:val="0"/>
          <w:divBdr>
            <w:top w:val="none" w:sz="0" w:space="0" w:color="auto"/>
            <w:left w:val="none" w:sz="0" w:space="0" w:color="auto"/>
            <w:bottom w:val="none" w:sz="0" w:space="0" w:color="auto"/>
            <w:right w:val="none" w:sz="0" w:space="0" w:color="auto"/>
          </w:divBdr>
          <w:divsChild>
            <w:div w:id="230696683">
              <w:marLeft w:val="0"/>
              <w:marRight w:val="0"/>
              <w:marTop w:val="0"/>
              <w:marBottom w:val="0"/>
              <w:divBdr>
                <w:top w:val="none" w:sz="0" w:space="0" w:color="auto"/>
                <w:left w:val="none" w:sz="0" w:space="0" w:color="auto"/>
                <w:bottom w:val="none" w:sz="0" w:space="0" w:color="auto"/>
                <w:right w:val="none" w:sz="0" w:space="0" w:color="auto"/>
              </w:divBdr>
              <w:divsChild>
                <w:div w:id="571428233">
                  <w:marLeft w:val="0"/>
                  <w:marRight w:val="0"/>
                  <w:marTop w:val="0"/>
                  <w:marBottom w:val="0"/>
                  <w:divBdr>
                    <w:top w:val="none" w:sz="0" w:space="0" w:color="auto"/>
                    <w:left w:val="none" w:sz="0" w:space="0" w:color="auto"/>
                    <w:bottom w:val="none" w:sz="0" w:space="0" w:color="auto"/>
                    <w:right w:val="none" w:sz="0" w:space="0" w:color="auto"/>
                  </w:divBdr>
                  <w:divsChild>
                    <w:div w:id="147553590">
                      <w:marLeft w:val="0"/>
                      <w:marRight w:val="0"/>
                      <w:marTop w:val="0"/>
                      <w:marBottom w:val="0"/>
                      <w:divBdr>
                        <w:top w:val="none" w:sz="0" w:space="0" w:color="auto"/>
                        <w:left w:val="none" w:sz="0" w:space="0" w:color="auto"/>
                        <w:bottom w:val="none" w:sz="0" w:space="0" w:color="auto"/>
                        <w:right w:val="none" w:sz="0" w:space="0" w:color="auto"/>
                      </w:divBdr>
                    </w:div>
                    <w:div w:id="6183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29843">
      <w:bodyDiv w:val="1"/>
      <w:marLeft w:val="0"/>
      <w:marRight w:val="0"/>
      <w:marTop w:val="0"/>
      <w:marBottom w:val="0"/>
      <w:divBdr>
        <w:top w:val="none" w:sz="0" w:space="0" w:color="auto"/>
        <w:left w:val="none" w:sz="0" w:space="0" w:color="auto"/>
        <w:bottom w:val="none" w:sz="0" w:space="0" w:color="auto"/>
        <w:right w:val="none" w:sz="0" w:space="0" w:color="auto"/>
      </w:divBdr>
    </w:div>
    <w:div w:id="1523742154">
      <w:bodyDiv w:val="1"/>
      <w:marLeft w:val="0"/>
      <w:marRight w:val="0"/>
      <w:marTop w:val="150"/>
      <w:marBottom w:val="0"/>
      <w:divBdr>
        <w:top w:val="none" w:sz="0" w:space="0" w:color="auto"/>
        <w:left w:val="none" w:sz="0" w:space="0" w:color="auto"/>
        <w:bottom w:val="none" w:sz="0" w:space="0" w:color="auto"/>
        <w:right w:val="none" w:sz="0" w:space="0" w:color="auto"/>
      </w:divBdr>
      <w:divsChild>
        <w:div w:id="485779102">
          <w:marLeft w:val="0"/>
          <w:marRight w:val="0"/>
          <w:marTop w:val="0"/>
          <w:marBottom w:val="0"/>
          <w:divBdr>
            <w:top w:val="none" w:sz="0" w:space="0" w:color="auto"/>
            <w:left w:val="none" w:sz="0" w:space="0" w:color="auto"/>
            <w:bottom w:val="none" w:sz="0" w:space="0" w:color="auto"/>
            <w:right w:val="none" w:sz="0" w:space="0" w:color="auto"/>
          </w:divBdr>
          <w:divsChild>
            <w:div w:id="1576823072">
              <w:marLeft w:val="0"/>
              <w:marRight w:val="0"/>
              <w:marTop w:val="0"/>
              <w:marBottom w:val="0"/>
              <w:divBdr>
                <w:top w:val="none" w:sz="0" w:space="0" w:color="auto"/>
                <w:left w:val="none" w:sz="0" w:space="0" w:color="auto"/>
                <w:bottom w:val="none" w:sz="0" w:space="0" w:color="auto"/>
                <w:right w:val="none" w:sz="0" w:space="0" w:color="auto"/>
              </w:divBdr>
              <w:divsChild>
                <w:div w:id="902837354">
                  <w:marLeft w:val="0"/>
                  <w:marRight w:val="0"/>
                  <w:marTop w:val="0"/>
                  <w:marBottom w:val="0"/>
                  <w:divBdr>
                    <w:top w:val="none" w:sz="0" w:space="0" w:color="auto"/>
                    <w:left w:val="none" w:sz="0" w:space="0" w:color="auto"/>
                    <w:bottom w:val="none" w:sz="0" w:space="0" w:color="auto"/>
                    <w:right w:val="none" w:sz="0" w:space="0" w:color="auto"/>
                  </w:divBdr>
                  <w:divsChild>
                    <w:div w:id="207567827">
                      <w:marLeft w:val="0"/>
                      <w:marRight w:val="0"/>
                      <w:marTop w:val="0"/>
                      <w:marBottom w:val="0"/>
                      <w:divBdr>
                        <w:top w:val="none" w:sz="0" w:space="0" w:color="auto"/>
                        <w:left w:val="none" w:sz="0" w:space="0" w:color="auto"/>
                        <w:bottom w:val="none" w:sz="0" w:space="0" w:color="auto"/>
                        <w:right w:val="none" w:sz="0" w:space="0" w:color="auto"/>
                      </w:divBdr>
                      <w:divsChild>
                        <w:div w:id="692732062">
                          <w:marLeft w:val="0"/>
                          <w:marRight w:val="0"/>
                          <w:marTop w:val="0"/>
                          <w:marBottom w:val="0"/>
                          <w:divBdr>
                            <w:top w:val="none" w:sz="0" w:space="0" w:color="auto"/>
                            <w:left w:val="none" w:sz="0" w:space="0" w:color="auto"/>
                            <w:bottom w:val="none" w:sz="0" w:space="0" w:color="auto"/>
                            <w:right w:val="none" w:sz="0" w:space="0" w:color="auto"/>
                          </w:divBdr>
                          <w:divsChild>
                            <w:div w:id="316611069">
                              <w:marLeft w:val="0"/>
                              <w:marRight w:val="0"/>
                              <w:marTop w:val="0"/>
                              <w:marBottom w:val="0"/>
                              <w:divBdr>
                                <w:top w:val="none" w:sz="0" w:space="0" w:color="auto"/>
                                <w:left w:val="none" w:sz="0" w:space="0" w:color="auto"/>
                                <w:bottom w:val="none" w:sz="0" w:space="0" w:color="auto"/>
                                <w:right w:val="none" w:sz="0" w:space="0" w:color="auto"/>
                              </w:divBdr>
                              <w:divsChild>
                                <w:div w:id="129054864">
                                  <w:marLeft w:val="0"/>
                                  <w:marRight w:val="0"/>
                                  <w:marTop w:val="0"/>
                                  <w:marBottom w:val="0"/>
                                  <w:divBdr>
                                    <w:top w:val="none" w:sz="0" w:space="0" w:color="auto"/>
                                    <w:left w:val="none" w:sz="0" w:space="0" w:color="auto"/>
                                    <w:bottom w:val="none" w:sz="0" w:space="0" w:color="auto"/>
                                    <w:right w:val="none" w:sz="0" w:space="0" w:color="auto"/>
                                  </w:divBdr>
                                  <w:divsChild>
                                    <w:div w:id="352002512">
                                      <w:marLeft w:val="0"/>
                                      <w:marRight w:val="0"/>
                                      <w:marTop w:val="0"/>
                                      <w:marBottom w:val="0"/>
                                      <w:divBdr>
                                        <w:top w:val="none" w:sz="0" w:space="0" w:color="auto"/>
                                        <w:left w:val="none" w:sz="0" w:space="0" w:color="auto"/>
                                        <w:bottom w:val="none" w:sz="0" w:space="0" w:color="auto"/>
                                        <w:right w:val="none" w:sz="0" w:space="0" w:color="auto"/>
                                      </w:divBdr>
                                    </w:div>
                                    <w:div w:id="683676790">
                                      <w:marLeft w:val="0"/>
                                      <w:marRight w:val="0"/>
                                      <w:marTop w:val="0"/>
                                      <w:marBottom w:val="0"/>
                                      <w:divBdr>
                                        <w:top w:val="none" w:sz="0" w:space="0" w:color="auto"/>
                                        <w:left w:val="none" w:sz="0" w:space="0" w:color="auto"/>
                                        <w:bottom w:val="none" w:sz="0" w:space="0" w:color="auto"/>
                                        <w:right w:val="none" w:sz="0" w:space="0" w:color="auto"/>
                                      </w:divBdr>
                                    </w:div>
                                    <w:div w:id="694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12423">
      <w:bodyDiv w:val="1"/>
      <w:marLeft w:val="0"/>
      <w:marRight w:val="0"/>
      <w:marTop w:val="0"/>
      <w:marBottom w:val="0"/>
      <w:divBdr>
        <w:top w:val="none" w:sz="0" w:space="0" w:color="auto"/>
        <w:left w:val="none" w:sz="0" w:space="0" w:color="auto"/>
        <w:bottom w:val="none" w:sz="0" w:space="0" w:color="auto"/>
        <w:right w:val="none" w:sz="0" w:space="0" w:color="auto"/>
      </w:divBdr>
    </w:div>
    <w:div w:id="1603033387">
      <w:bodyDiv w:val="1"/>
      <w:marLeft w:val="0"/>
      <w:marRight w:val="0"/>
      <w:marTop w:val="150"/>
      <w:marBottom w:val="0"/>
      <w:divBdr>
        <w:top w:val="none" w:sz="0" w:space="0" w:color="auto"/>
        <w:left w:val="none" w:sz="0" w:space="0" w:color="auto"/>
        <w:bottom w:val="none" w:sz="0" w:space="0" w:color="auto"/>
        <w:right w:val="none" w:sz="0" w:space="0" w:color="auto"/>
      </w:divBdr>
    </w:div>
    <w:div w:id="1685088121">
      <w:bodyDiv w:val="1"/>
      <w:marLeft w:val="0"/>
      <w:marRight w:val="0"/>
      <w:marTop w:val="0"/>
      <w:marBottom w:val="0"/>
      <w:divBdr>
        <w:top w:val="none" w:sz="0" w:space="0" w:color="auto"/>
        <w:left w:val="none" w:sz="0" w:space="0" w:color="auto"/>
        <w:bottom w:val="none" w:sz="0" w:space="0" w:color="auto"/>
        <w:right w:val="none" w:sz="0" w:space="0" w:color="auto"/>
      </w:divBdr>
    </w:div>
    <w:div w:id="1724139209">
      <w:bodyDiv w:val="1"/>
      <w:marLeft w:val="0"/>
      <w:marRight w:val="0"/>
      <w:marTop w:val="0"/>
      <w:marBottom w:val="0"/>
      <w:divBdr>
        <w:top w:val="none" w:sz="0" w:space="0" w:color="auto"/>
        <w:left w:val="none" w:sz="0" w:space="0" w:color="auto"/>
        <w:bottom w:val="none" w:sz="0" w:space="0" w:color="auto"/>
        <w:right w:val="none" w:sz="0" w:space="0" w:color="auto"/>
      </w:divBdr>
    </w:div>
    <w:div w:id="1809279310">
      <w:bodyDiv w:val="1"/>
      <w:marLeft w:val="0"/>
      <w:marRight w:val="0"/>
      <w:marTop w:val="0"/>
      <w:marBottom w:val="0"/>
      <w:divBdr>
        <w:top w:val="none" w:sz="0" w:space="0" w:color="auto"/>
        <w:left w:val="none" w:sz="0" w:space="0" w:color="auto"/>
        <w:bottom w:val="none" w:sz="0" w:space="0" w:color="auto"/>
        <w:right w:val="none" w:sz="0" w:space="0" w:color="auto"/>
      </w:divBdr>
    </w:div>
    <w:div w:id="1822892017">
      <w:bodyDiv w:val="1"/>
      <w:marLeft w:val="0"/>
      <w:marRight w:val="0"/>
      <w:marTop w:val="0"/>
      <w:marBottom w:val="0"/>
      <w:divBdr>
        <w:top w:val="none" w:sz="0" w:space="0" w:color="auto"/>
        <w:left w:val="none" w:sz="0" w:space="0" w:color="auto"/>
        <w:bottom w:val="none" w:sz="0" w:space="0" w:color="auto"/>
        <w:right w:val="none" w:sz="0" w:space="0" w:color="auto"/>
      </w:divBdr>
    </w:div>
    <w:div w:id="1837190943">
      <w:bodyDiv w:val="1"/>
      <w:marLeft w:val="0"/>
      <w:marRight w:val="0"/>
      <w:marTop w:val="0"/>
      <w:marBottom w:val="0"/>
      <w:divBdr>
        <w:top w:val="none" w:sz="0" w:space="0" w:color="auto"/>
        <w:left w:val="none" w:sz="0" w:space="0" w:color="auto"/>
        <w:bottom w:val="none" w:sz="0" w:space="0" w:color="auto"/>
        <w:right w:val="none" w:sz="0" w:space="0" w:color="auto"/>
      </w:divBdr>
    </w:div>
    <w:div w:id="1904682464">
      <w:bodyDiv w:val="1"/>
      <w:marLeft w:val="0"/>
      <w:marRight w:val="0"/>
      <w:marTop w:val="0"/>
      <w:marBottom w:val="0"/>
      <w:divBdr>
        <w:top w:val="none" w:sz="0" w:space="0" w:color="auto"/>
        <w:left w:val="none" w:sz="0" w:space="0" w:color="auto"/>
        <w:bottom w:val="none" w:sz="0" w:space="0" w:color="auto"/>
        <w:right w:val="none" w:sz="0" w:space="0" w:color="auto"/>
      </w:divBdr>
    </w:div>
    <w:div w:id="1964459323">
      <w:bodyDiv w:val="1"/>
      <w:marLeft w:val="0"/>
      <w:marRight w:val="0"/>
      <w:marTop w:val="0"/>
      <w:marBottom w:val="0"/>
      <w:divBdr>
        <w:top w:val="none" w:sz="0" w:space="0" w:color="auto"/>
        <w:left w:val="none" w:sz="0" w:space="0" w:color="auto"/>
        <w:bottom w:val="none" w:sz="0" w:space="0" w:color="auto"/>
        <w:right w:val="none" w:sz="0" w:space="0" w:color="auto"/>
      </w:divBdr>
    </w:div>
    <w:div w:id="1968928987">
      <w:bodyDiv w:val="1"/>
      <w:marLeft w:val="0"/>
      <w:marRight w:val="0"/>
      <w:marTop w:val="0"/>
      <w:marBottom w:val="0"/>
      <w:divBdr>
        <w:top w:val="none" w:sz="0" w:space="0" w:color="auto"/>
        <w:left w:val="none" w:sz="0" w:space="0" w:color="auto"/>
        <w:bottom w:val="none" w:sz="0" w:space="0" w:color="auto"/>
        <w:right w:val="none" w:sz="0" w:space="0" w:color="auto"/>
      </w:divBdr>
    </w:div>
    <w:div w:id="204335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F1F3-8C89-4C89-9784-57B17FBE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CONTENTS</vt:lpstr>
    </vt:vector>
  </TitlesOfParts>
  <Company>Smith and Nephew Inc</Company>
  <LinksUpToDate>false</LinksUpToDate>
  <CharactersWithSpaces>16630</CharactersWithSpaces>
  <SharedDoc>false</SharedDoc>
  <HLinks>
    <vt:vector size="24" baseType="variant">
      <vt:variant>
        <vt:i4>7602263</vt:i4>
      </vt:variant>
      <vt:variant>
        <vt:i4>9</vt:i4>
      </vt:variant>
      <vt:variant>
        <vt:i4>0</vt:i4>
      </vt:variant>
      <vt:variant>
        <vt:i4>5</vt:i4>
      </vt:variant>
      <vt:variant>
        <vt:lpwstr>http://www.pwccomperio.com/contents/english/external/us/gaap/Master_Glossary/Master_Glossary_B.htm</vt:lpwstr>
      </vt:variant>
      <vt:variant>
        <vt:lpwstr>term-805-10-20-BusinessCombination-123080</vt:lpwstr>
      </vt:variant>
      <vt:variant>
        <vt:i4>5177403</vt:i4>
      </vt:variant>
      <vt:variant>
        <vt:i4>6</vt:i4>
      </vt:variant>
      <vt:variant>
        <vt:i4>0</vt:i4>
      </vt:variant>
      <vt:variant>
        <vt:i4>5</vt:i4>
      </vt:variant>
      <vt:variant>
        <vt:lpwstr>mailto:accounts.payable@bioventusglobal.com</vt:lpwstr>
      </vt:variant>
      <vt:variant>
        <vt:lpwstr/>
      </vt:variant>
      <vt:variant>
        <vt:i4>8257603</vt:i4>
      </vt:variant>
      <vt:variant>
        <vt:i4>3</vt:i4>
      </vt:variant>
      <vt:variant>
        <vt:i4>0</vt:i4>
      </vt:variant>
      <vt:variant>
        <vt:i4>5</vt:i4>
      </vt:variant>
      <vt:variant>
        <vt:lpwstr>mailto:BioventusAP@bioventusglobal.com</vt:lpwstr>
      </vt:variant>
      <vt:variant>
        <vt:lpwstr/>
      </vt:variant>
      <vt:variant>
        <vt:i4>262183</vt:i4>
      </vt:variant>
      <vt:variant>
        <vt:i4>0</vt:i4>
      </vt:variant>
      <vt:variant>
        <vt:i4>0</vt:i4>
      </vt:variant>
      <vt:variant>
        <vt:i4>5</vt:i4>
      </vt:variant>
      <vt:variant>
        <vt:lpwstr>http://www.pwccomperio.com/contents/english/external/us/gaap/Master_Glossary/Master_Glossary_F.htm</vt:lpwstr>
      </vt:variant>
      <vt:variant>
        <vt:lpwstr>term-820-10-20-FairValue-110473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lojm</dc:creator>
  <cp:keywords/>
  <dc:description/>
  <cp:lastModifiedBy>Joana Starr</cp:lastModifiedBy>
  <cp:revision>3</cp:revision>
  <cp:lastPrinted>2020-12-07T15:04:00Z</cp:lastPrinted>
  <dcterms:created xsi:type="dcterms:W3CDTF">2026-04-20T14:20:00Z</dcterms:created>
  <dcterms:modified xsi:type="dcterms:W3CDTF">2026-04-20T14:22:00Z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2de5f9-2999-487c-8150-cb5b1c8566f8_Enabled">
    <vt:lpwstr>true</vt:lpwstr>
  </property>
  <property fmtid="{D5CDD505-2E9C-101B-9397-08002B2CF9AE}" pid="3" name="MSIP_Label_632de5f9-2999-487c-8150-cb5b1c8566f8_SetDate">
    <vt:lpwstr>2025-08-07T12:31:22Z</vt:lpwstr>
  </property>
  <property fmtid="{D5CDD505-2E9C-101B-9397-08002B2CF9AE}" pid="4" name="MSIP_Label_632de5f9-2999-487c-8150-cb5b1c8566f8_Method">
    <vt:lpwstr>Standard</vt:lpwstr>
  </property>
  <property fmtid="{D5CDD505-2E9C-101B-9397-08002B2CF9AE}" pid="5" name="MSIP_Label_632de5f9-2999-487c-8150-cb5b1c8566f8_Name">
    <vt:lpwstr>defa4170-0d19-0005-0004-bc88714345d2</vt:lpwstr>
  </property>
  <property fmtid="{D5CDD505-2E9C-101B-9397-08002B2CF9AE}" pid="6" name="MSIP_Label_632de5f9-2999-487c-8150-cb5b1c8566f8_SiteId">
    <vt:lpwstr>1fe37436-453e-49b8-8919-a5326c04617c</vt:lpwstr>
  </property>
  <property fmtid="{D5CDD505-2E9C-101B-9397-08002B2CF9AE}" pid="7" name="MSIP_Label_632de5f9-2999-487c-8150-cb5b1c8566f8_ActionId">
    <vt:lpwstr>fb71b12f-0b91-4b9b-b059-3c458bad6ee4</vt:lpwstr>
  </property>
  <property fmtid="{D5CDD505-2E9C-101B-9397-08002B2CF9AE}" pid="8" name="MSIP_Label_632de5f9-2999-487c-8150-cb5b1c8566f8_ContentBits">
    <vt:lpwstr>0</vt:lpwstr>
  </property>
  <property fmtid="{D5CDD505-2E9C-101B-9397-08002B2CF9AE}" pid="9" name="MSIP_Label_632de5f9-2999-487c-8150-cb5b1c8566f8_Tag">
    <vt:lpwstr>10, 3, 0, 1</vt:lpwstr>
  </property>
</Properties>
</file>