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7131" w14:textId="77777777" w:rsidR="00DF7DFD" w:rsidRDefault="00DF7DFD">
      <w:pPr>
        <w:pStyle w:val="BodyText"/>
        <w:spacing w:line="240" w:lineRule="auto"/>
        <w:rPr>
          <w:rFonts w:ascii="Smith&amp;NephewLF" w:hAnsi="Smith&amp;NephewLF"/>
          <w:sz w:val="20"/>
        </w:rPr>
      </w:pPr>
    </w:p>
    <w:p w14:paraId="17CB4FA7" w14:textId="77777777" w:rsidR="00DF7DFD" w:rsidRDefault="00DF7DFD">
      <w:pPr>
        <w:pStyle w:val="BodyText"/>
        <w:spacing w:line="240" w:lineRule="auto"/>
        <w:rPr>
          <w:rFonts w:ascii="Smith&amp;NephewLF" w:hAnsi="Smith&amp;NephewLF"/>
          <w:sz w:val="20"/>
        </w:rPr>
      </w:pPr>
    </w:p>
    <w:p w14:paraId="6DBB6DE4" w14:textId="77777777" w:rsidR="00DF7DFD" w:rsidRDefault="00DF7DFD">
      <w:pPr>
        <w:pStyle w:val="BodyText"/>
        <w:spacing w:line="240" w:lineRule="auto"/>
        <w:rPr>
          <w:rFonts w:ascii="Smith&amp;NephewLF" w:hAnsi="Smith&amp;NephewLF"/>
          <w:sz w:val="20"/>
        </w:rPr>
      </w:pPr>
    </w:p>
    <w:p w14:paraId="4A73B4D2" w14:textId="77777777" w:rsidR="00DF7DFD" w:rsidRDefault="00DF7DFD">
      <w:pPr>
        <w:pStyle w:val="BodyText"/>
        <w:spacing w:line="240" w:lineRule="auto"/>
        <w:rPr>
          <w:rFonts w:ascii="Smith&amp;NephewLF" w:hAnsi="Smith&amp;NephewLF"/>
          <w:sz w:val="20"/>
        </w:rPr>
      </w:pPr>
    </w:p>
    <w:p w14:paraId="53ECB2D5" w14:textId="77777777" w:rsidR="00DF7DFD" w:rsidRDefault="00DF7DFD">
      <w:pPr>
        <w:pStyle w:val="BodyText"/>
        <w:spacing w:line="240" w:lineRule="auto"/>
        <w:rPr>
          <w:rFonts w:ascii="Smith&amp;NephewLF" w:hAnsi="Smith&amp;NephewLF"/>
          <w:sz w:val="20"/>
        </w:rPr>
      </w:pPr>
    </w:p>
    <w:p w14:paraId="3A95675A" w14:textId="77777777" w:rsidR="00DF7DFD" w:rsidRDefault="00DF7DFD">
      <w:pPr>
        <w:pStyle w:val="BodyText"/>
        <w:spacing w:line="240" w:lineRule="auto"/>
        <w:rPr>
          <w:rFonts w:ascii="Smith&amp;NephewLF" w:hAnsi="Smith&amp;NephewLF"/>
          <w:sz w:val="20"/>
        </w:rPr>
      </w:pPr>
    </w:p>
    <w:p w14:paraId="10AAB699" w14:textId="77777777" w:rsidR="00DF7DFD" w:rsidRDefault="00DF7DFD">
      <w:pPr>
        <w:pStyle w:val="BodyText"/>
        <w:spacing w:line="240" w:lineRule="auto"/>
        <w:rPr>
          <w:rFonts w:ascii="Smith&amp;NephewLF" w:hAnsi="Smith&amp;NephewLF"/>
          <w:sz w:val="20"/>
        </w:rPr>
      </w:pPr>
    </w:p>
    <w:p w14:paraId="002BC954" w14:textId="77777777" w:rsidR="00DF7DFD" w:rsidRDefault="00DF7DFD">
      <w:pPr>
        <w:pStyle w:val="BodyText"/>
        <w:spacing w:line="240" w:lineRule="auto"/>
        <w:rPr>
          <w:rFonts w:ascii="Smith&amp;NephewLF" w:hAnsi="Smith&amp;NephewLF"/>
          <w:sz w:val="20"/>
        </w:rPr>
      </w:pPr>
    </w:p>
    <w:p w14:paraId="2AD74268" w14:textId="77777777" w:rsidR="00DF7DFD" w:rsidRDefault="00DF7DFD">
      <w:pPr>
        <w:pStyle w:val="BodyText"/>
        <w:spacing w:line="240" w:lineRule="auto"/>
        <w:rPr>
          <w:rFonts w:ascii="Smith&amp;NephewLF" w:hAnsi="Smith&amp;NephewLF"/>
          <w:sz w:val="20"/>
        </w:rPr>
      </w:pPr>
    </w:p>
    <w:p w14:paraId="1F1B4DAD" w14:textId="77777777" w:rsidR="00DF7DFD" w:rsidRDefault="00DF7DFD">
      <w:pPr>
        <w:pStyle w:val="BodyText"/>
        <w:spacing w:line="240" w:lineRule="auto"/>
        <w:rPr>
          <w:rFonts w:ascii="Smith&amp;NephewLF" w:hAnsi="Smith&amp;NephewLF"/>
          <w:sz w:val="20"/>
        </w:rPr>
      </w:pPr>
    </w:p>
    <w:p w14:paraId="757FA90E" w14:textId="77777777" w:rsidR="00DF7DFD" w:rsidRDefault="00DF7DFD">
      <w:pPr>
        <w:pStyle w:val="BodyText"/>
        <w:spacing w:line="240" w:lineRule="auto"/>
        <w:rPr>
          <w:rFonts w:ascii="Smith&amp;NephewLF" w:hAnsi="Smith&amp;NephewLF"/>
          <w:sz w:val="20"/>
        </w:rPr>
      </w:pPr>
    </w:p>
    <w:p w14:paraId="3D857BAB" w14:textId="77777777" w:rsidR="00DF7DFD" w:rsidRDefault="00DF7DFD">
      <w:pPr>
        <w:pStyle w:val="BodyText"/>
        <w:spacing w:line="240" w:lineRule="auto"/>
        <w:rPr>
          <w:sz w:val="20"/>
        </w:rPr>
      </w:pPr>
    </w:p>
    <w:p w14:paraId="44E61315" w14:textId="77777777" w:rsidR="00DF7DFD" w:rsidRDefault="00DF7DFD">
      <w:pPr>
        <w:pStyle w:val="BodyText"/>
        <w:spacing w:line="240" w:lineRule="auto"/>
        <w:rPr>
          <w:sz w:val="20"/>
        </w:rPr>
      </w:pPr>
    </w:p>
    <w:p w14:paraId="4976DCCD" w14:textId="77777777" w:rsidR="00DF7DFD" w:rsidRDefault="00DF7DFD">
      <w:pPr>
        <w:pStyle w:val="BodyText"/>
        <w:spacing w:line="240" w:lineRule="auto"/>
        <w:rPr>
          <w:sz w:val="20"/>
        </w:rPr>
      </w:pPr>
    </w:p>
    <w:p w14:paraId="70018BF2" w14:textId="77777777" w:rsidR="00DF7DFD" w:rsidRDefault="00DF7DFD">
      <w:pPr>
        <w:pStyle w:val="BodyText"/>
        <w:spacing w:line="240" w:lineRule="auto"/>
        <w:rPr>
          <w:sz w:val="20"/>
        </w:rPr>
      </w:pPr>
    </w:p>
    <w:p w14:paraId="0662BD33" w14:textId="77777777" w:rsidR="00DF7DFD" w:rsidRDefault="00DF7DFD">
      <w:pPr>
        <w:pStyle w:val="BodyText"/>
        <w:spacing w:line="240" w:lineRule="auto"/>
        <w:rPr>
          <w:sz w:val="20"/>
        </w:rPr>
      </w:pPr>
    </w:p>
    <w:p w14:paraId="150111CA" w14:textId="77777777" w:rsidR="00DF7DFD" w:rsidRDefault="00DF7DFD">
      <w:pPr>
        <w:pStyle w:val="BodyText"/>
        <w:spacing w:line="240" w:lineRule="auto"/>
        <w:rPr>
          <w:sz w:val="20"/>
        </w:rPr>
      </w:pPr>
    </w:p>
    <w:p w14:paraId="65143810" w14:textId="77777777" w:rsidR="00DF7DFD" w:rsidRDefault="00F62BB8">
      <w:pPr>
        <w:pStyle w:val="BodyText"/>
        <w:spacing w:line="240" w:lineRule="auto"/>
        <w:rPr>
          <w:sz w:val="20"/>
        </w:rPr>
      </w:pPr>
      <w:r>
        <w:rPr>
          <w:noProof/>
        </w:rPr>
        <w:drawing>
          <wp:inline distT="0" distB="0" distL="0" distR="0" wp14:anchorId="427AB3BE" wp14:editId="784E5A4F">
            <wp:extent cx="4600575" cy="1409700"/>
            <wp:effectExtent l="0" t="0" r="9525" b="0"/>
            <wp:docPr id="1" name="Picture 1" descr="Description: Untitled-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Untitled-4-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1409700"/>
                    </a:xfrm>
                    <a:prstGeom prst="rect">
                      <a:avLst/>
                    </a:prstGeom>
                    <a:noFill/>
                    <a:ln>
                      <a:noFill/>
                    </a:ln>
                  </pic:spPr>
                </pic:pic>
              </a:graphicData>
            </a:graphic>
          </wp:inline>
        </w:drawing>
      </w:r>
    </w:p>
    <w:p w14:paraId="53B7BB2B" w14:textId="77777777" w:rsidR="00DF7DFD" w:rsidRDefault="00F62BB8">
      <w:pPr>
        <w:pStyle w:val="BodyText"/>
        <w:spacing w:line="240" w:lineRule="auto"/>
        <w:rPr>
          <w:sz w:val="20"/>
        </w:rPr>
      </w:pPr>
      <w:r>
        <w:rPr>
          <w:sz w:val="20"/>
        </w:rPr>
        <w:t xml:space="preserve"> </w:t>
      </w:r>
    </w:p>
    <w:p w14:paraId="4A94360A" w14:textId="77777777" w:rsidR="00DF7DFD" w:rsidRDefault="00DF7DFD">
      <w:pPr>
        <w:pStyle w:val="BodyText"/>
        <w:spacing w:line="240" w:lineRule="auto"/>
        <w:rPr>
          <w:sz w:val="20"/>
        </w:rPr>
      </w:pPr>
    </w:p>
    <w:p w14:paraId="32E9FA2C" w14:textId="77777777" w:rsidR="00DF7DFD" w:rsidRDefault="00DF7DFD">
      <w:pPr>
        <w:pStyle w:val="BodyText"/>
        <w:spacing w:line="240" w:lineRule="auto"/>
        <w:rPr>
          <w:sz w:val="20"/>
        </w:rPr>
      </w:pPr>
    </w:p>
    <w:p w14:paraId="552F29F9" w14:textId="77777777" w:rsidR="00DF7DFD" w:rsidRDefault="00DF7DFD">
      <w:pPr>
        <w:pStyle w:val="BodyText"/>
        <w:spacing w:line="240" w:lineRule="auto"/>
        <w:rPr>
          <w:sz w:val="20"/>
        </w:rPr>
      </w:pPr>
    </w:p>
    <w:p w14:paraId="0D6A13F2" w14:textId="77777777" w:rsidR="00DF7DFD" w:rsidRDefault="00DF7DFD">
      <w:pPr>
        <w:pStyle w:val="BodyText"/>
        <w:spacing w:line="240" w:lineRule="auto"/>
        <w:rPr>
          <w:sz w:val="20"/>
        </w:rPr>
      </w:pPr>
    </w:p>
    <w:p w14:paraId="398BE044" w14:textId="3CBC99E7" w:rsidR="00DF7DFD" w:rsidRPr="00964C03" w:rsidRDefault="00964C03">
      <w:pPr>
        <w:pStyle w:val="BodyText"/>
        <w:spacing w:line="240" w:lineRule="auto"/>
        <w:jc w:val="left"/>
        <w:rPr>
          <w:rFonts w:ascii="Century Gothic" w:hAnsi="Century Gothic"/>
          <w:b/>
          <w:sz w:val="56"/>
          <w:szCs w:val="56"/>
        </w:rPr>
      </w:pPr>
      <w:r w:rsidRPr="00964C03">
        <w:rPr>
          <w:rFonts w:ascii="Century Gothic" w:hAnsi="Century Gothic"/>
          <w:b/>
          <w:sz w:val="56"/>
          <w:szCs w:val="56"/>
        </w:rPr>
        <w:t xml:space="preserve">Global </w:t>
      </w:r>
      <w:r w:rsidR="00F62BB8" w:rsidRPr="00964C03">
        <w:rPr>
          <w:rFonts w:ascii="Century Gothic" w:hAnsi="Century Gothic"/>
          <w:b/>
          <w:sz w:val="56"/>
          <w:szCs w:val="56"/>
        </w:rPr>
        <w:t>Accounting Policies Manual</w:t>
      </w:r>
    </w:p>
    <w:p w14:paraId="462750C4" w14:textId="77777777" w:rsidR="00DF7DFD" w:rsidRDefault="00DF7DFD">
      <w:pPr>
        <w:pStyle w:val="BodyText"/>
        <w:spacing w:line="240" w:lineRule="auto"/>
        <w:jc w:val="left"/>
        <w:rPr>
          <w:rFonts w:ascii="Century Gothic" w:hAnsi="Century Gothic"/>
          <w:b/>
          <w:sz w:val="60"/>
          <w:szCs w:val="60"/>
        </w:rPr>
      </w:pPr>
    </w:p>
    <w:p w14:paraId="6D5254A7" w14:textId="77777777" w:rsidR="00DF7DFD" w:rsidRDefault="00DF7DFD">
      <w:pPr>
        <w:pStyle w:val="BodyText"/>
        <w:spacing w:line="240" w:lineRule="auto"/>
        <w:rPr>
          <w:sz w:val="20"/>
        </w:rPr>
      </w:pPr>
    </w:p>
    <w:p w14:paraId="0A8688A0" w14:textId="77777777" w:rsidR="00DF7DFD" w:rsidRDefault="00F62BB8">
      <w:pPr>
        <w:rPr>
          <w:b/>
        </w:rPr>
      </w:pPr>
      <w:bookmarkStart w:id="0" w:name="_Toc219118222"/>
      <w:bookmarkStart w:id="1" w:name="_Toc219793777"/>
      <w:bookmarkStart w:id="2" w:name="_Toc220745232"/>
      <w:bookmarkStart w:id="3" w:name="_Toc220929425"/>
      <w:bookmarkStart w:id="4" w:name="_Toc220931600"/>
      <w:bookmarkStart w:id="5" w:name="_Toc225053618"/>
      <w:bookmarkStart w:id="6" w:name="_Toc228086175"/>
      <w:bookmarkStart w:id="7" w:name="_Toc228087796"/>
      <w:r>
        <w:br w:type="page"/>
      </w:r>
      <w:bookmarkEnd w:id="0"/>
      <w:bookmarkEnd w:id="1"/>
      <w:bookmarkEnd w:id="2"/>
      <w:bookmarkEnd w:id="3"/>
      <w:bookmarkEnd w:id="4"/>
      <w:bookmarkEnd w:id="5"/>
      <w:bookmarkEnd w:id="6"/>
      <w:bookmarkEnd w:id="7"/>
    </w:p>
    <w:p w14:paraId="663422A3" w14:textId="77777777" w:rsidR="00DF7DFD" w:rsidRDefault="00F62BB8">
      <w:pPr>
        <w:pStyle w:val="TOCHeading"/>
        <w:rPr>
          <w:rFonts w:ascii="Century Gothic" w:hAnsi="Century Gothic"/>
          <w:sz w:val="32"/>
          <w:szCs w:val="32"/>
        </w:rPr>
      </w:pPr>
      <w:r>
        <w:rPr>
          <w:rFonts w:ascii="Century Gothic" w:hAnsi="Century Gothic"/>
          <w:sz w:val="32"/>
          <w:szCs w:val="32"/>
        </w:rPr>
        <w:t>Table of Contents</w:t>
      </w:r>
    </w:p>
    <w:p w14:paraId="7921B01C" w14:textId="76D98B87" w:rsidR="00DF7DFD" w:rsidRPr="00601B1A" w:rsidRDefault="00F62BB8" w:rsidP="00055752">
      <w:pPr>
        <w:pStyle w:val="TOC1"/>
        <w:rPr>
          <w:rFonts w:ascii="Century Gothic" w:hAnsi="Century Gothic"/>
          <w:sz w:val="22"/>
          <w:szCs w:val="22"/>
        </w:rPr>
      </w:pPr>
      <w:hyperlink w:anchor="_Purpose" w:history="1">
        <w:r w:rsidRPr="00601B1A">
          <w:rPr>
            <w:rStyle w:val="Hyperlink"/>
            <w:rFonts w:ascii="Century Gothic" w:hAnsi="Century Gothic"/>
            <w:sz w:val="22"/>
            <w:szCs w:val="22"/>
          </w:rPr>
          <w:t>Introduction</w:t>
        </w:r>
      </w:hyperlink>
      <w:r w:rsidRPr="00601B1A">
        <w:rPr>
          <w:rFonts w:ascii="Century Gothic" w:hAnsi="Century Gothic"/>
          <w:sz w:val="22"/>
          <w:szCs w:val="22"/>
        </w:rPr>
        <w:tab/>
        <w:t>4</w:t>
      </w:r>
    </w:p>
    <w:p w14:paraId="1C6E2DC4" w14:textId="048BE954" w:rsidR="00DF7DFD" w:rsidRPr="00601B1A" w:rsidRDefault="00F62BB8" w:rsidP="00055752">
      <w:pPr>
        <w:pStyle w:val="TOC1"/>
        <w:rPr>
          <w:rFonts w:ascii="Century Gothic" w:hAnsi="Century Gothic"/>
          <w:sz w:val="22"/>
          <w:szCs w:val="22"/>
        </w:rPr>
      </w:pPr>
      <w:hyperlink w:anchor="_General" w:history="1">
        <w:r w:rsidRPr="00601B1A">
          <w:rPr>
            <w:rStyle w:val="Hyperlink"/>
            <w:rFonts w:ascii="Century Gothic" w:hAnsi="Century Gothic"/>
            <w:sz w:val="22"/>
            <w:szCs w:val="22"/>
          </w:rPr>
          <w:t>Accounting Policies</w:t>
        </w:r>
      </w:hyperlink>
      <w:r w:rsidRPr="00601B1A">
        <w:rPr>
          <w:rFonts w:ascii="Century Gothic" w:hAnsi="Century Gothic"/>
          <w:sz w:val="22"/>
          <w:szCs w:val="22"/>
        </w:rPr>
        <w:tab/>
      </w:r>
      <w:r w:rsidR="00465790" w:rsidRPr="00601B1A">
        <w:rPr>
          <w:rFonts w:ascii="Century Gothic" w:hAnsi="Century Gothic"/>
          <w:sz w:val="22"/>
          <w:szCs w:val="22"/>
        </w:rPr>
        <w:t>6</w:t>
      </w:r>
      <w:r w:rsidR="00004575" w:rsidRPr="00601B1A">
        <w:rPr>
          <w:rFonts w:ascii="Century Gothic" w:hAnsi="Century Gothic"/>
          <w:sz w:val="22"/>
          <w:szCs w:val="22"/>
        </w:rPr>
        <w:t xml:space="preserve"> </w:t>
      </w:r>
    </w:p>
    <w:p w14:paraId="49DE7AF7" w14:textId="6A256047"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   </w:t>
      </w:r>
      <w:hyperlink w:anchor="_General" w:history="1">
        <w:r w:rsidRPr="00601B1A">
          <w:rPr>
            <w:rStyle w:val="Hyperlink"/>
            <w:rFonts w:ascii="Century Gothic" w:hAnsi="Century Gothic"/>
            <w:sz w:val="22"/>
            <w:szCs w:val="22"/>
          </w:rPr>
          <w:t>General</w:t>
        </w:r>
      </w:hyperlink>
      <w:r w:rsidRPr="00601B1A">
        <w:rPr>
          <w:rFonts w:ascii="Century Gothic" w:hAnsi="Century Gothic"/>
          <w:sz w:val="22"/>
          <w:szCs w:val="22"/>
        </w:rPr>
        <w:tab/>
      </w:r>
      <w:r w:rsidR="00465790" w:rsidRPr="00601B1A">
        <w:rPr>
          <w:rFonts w:ascii="Century Gothic" w:hAnsi="Century Gothic"/>
          <w:sz w:val="22"/>
          <w:szCs w:val="22"/>
        </w:rPr>
        <w:t>6</w:t>
      </w:r>
    </w:p>
    <w:p w14:paraId="7720297F" w14:textId="0059ABAC"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   </w:t>
      </w:r>
      <w:hyperlink w:anchor="_Consolidation" w:history="1">
        <w:r w:rsidRPr="00601B1A">
          <w:rPr>
            <w:rStyle w:val="Hyperlink"/>
            <w:rFonts w:ascii="Century Gothic" w:hAnsi="Century Gothic"/>
            <w:sz w:val="22"/>
            <w:szCs w:val="22"/>
          </w:rPr>
          <w:t>Consolidation</w:t>
        </w:r>
      </w:hyperlink>
      <w:r w:rsidRPr="00601B1A">
        <w:rPr>
          <w:rFonts w:ascii="Century Gothic" w:hAnsi="Century Gothic"/>
          <w:sz w:val="22"/>
          <w:szCs w:val="22"/>
        </w:rPr>
        <w:tab/>
      </w:r>
      <w:r w:rsidR="00915D31" w:rsidRPr="00601B1A">
        <w:rPr>
          <w:rFonts w:ascii="Century Gothic" w:hAnsi="Century Gothic"/>
          <w:sz w:val="22"/>
          <w:szCs w:val="22"/>
        </w:rPr>
        <w:t>6</w:t>
      </w:r>
    </w:p>
    <w:p w14:paraId="27E4F030" w14:textId="3BD39209"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3.   </w:t>
      </w:r>
      <w:hyperlink w:anchor="_Financial_Statement_Presentation" w:history="1">
        <w:r w:rsidRPr="00601B1A">
          <w:rPr>
            <w:rStyle w:val="Hyperlink"/>
            <w:rFonts w:ascii="Century Gothic" w:hAnsi="Century Gothic"/>
            <w:sz w:val="22"/>
            <w:szCs w:val="22"/>
          </w:rPr>
          <w:t>Financial Statement Presentation</w:t>
        </w:r>
      </w:hyperlink>
      <w:r w:rsidRPr="00601B1A">
        <w:rPr>
          <w:rFonts w:ascii="Century Gothic" w:hAnsi="Century Gothic"/>
          <w:sz w:val="22"/>
          <w:szCs w:val="22"/>
        </w:rPr>
        <w:tab/>
      </w:r>
      <w:r w:rsidR="00465790" w:rsidRPr="00601B1A">
        <w:rPr>
          <w:rFonts w:ascii="Century Gothic" w:hAnsi="Century Gothic"/>
          <w:sz w:val="22"/>
          <w:szCs w:val="22"/>
        </w:rPr>
        <w:t>7</w:t>
      </w:r>
    </w:p>
    <w:p w14:paraId="14DF2F71" w14:textId="21CA5254" w:rsidR="00DF7DFD" w:rsidRPr="00601B1A" w:rsidRDefault="00F62BB8" w:rsidP="00055752">
      <w:pPr>
        <w:pStyle w:val="TOC1"/>
      </w:pPr>
      <w:r w:rsidRPr="00601B1A">
        <w:t xml:space="preserve">       3.1  </w:t>
      </w:r>
      <w:hyperlink w:anchor="CashFlow" w:history="1">
        <w:r w:rsidRPr="00601B1A">
          <w:rPr>
            <w:rStyle w:val="Hyperlink"/>
            <w:rFonts w:ascii="Century Gothic" w:hAnsi="Century Gothic"/>
            <w:sz w:val="22"/>
            <w:szCs w:val="22"/>
          </w:rPr>
          <w:t xml:space="preserve">Gross </w:t>
        </w:r>
        <w:r w:rsidR="00C02105" w:rsidRPr="00601B1A">
          <w:rPr>
            <w:rStyle w:val="Hyperlink"/>
            <w:rFonts w:ascii="Century Gothic" w:hAnsi="Century Gothic"/>
            <w:sz w:val="22"/>
            <w:szCs w:val="22"/>
          </w:rPr>
          <w:t>P</w:t>
        </w:r>
        <w:r w:rsidRPr="00601B1A">
          <w:rPr>
            <w:rStyle w:val="Hyperlink"/>
            <w:rFonts w:ascii="Century Gothic" w:hAnsi="Century Gothic"/>
            <w:sz w:val="22"/>
            <w:szCs w:val="22"/>
          </w:rPr>
          <w:t>resentation for Statements of Cash Flows</w:t>
        </w:r>
      </w:hyperlink>
      <w:r w:rsidRPr="00601B1A">
        <w:tab/>
      </w:r>
      <w:r w:rsidR="00465790" w:rsidRPr="00601B1A">
        <w:t>7</w:t>
      </w:r>
    </w:p>
    <w:p w14:paraId="512BB8E6" w14:textId="4CF536E5" w:rsidR="00DF7DFD" w:rsidRPr="00601B1A" w:rsidRDefault="00F62BB8" w:rsidP="00055752">
      <w:pPr>
        <w:pStyle w:val="TOC1"/>
      </w:pPr>
      <w:r w:rsidRPr="00601B1A">
        <w:t xml:space="preserve">       3.2  </w:t>
      </w:r>
      <w:hyperlink w:anchor="IncomeStmt" w:history="1">
        <w:r w:rsidRPr="00601B1A">
          <w:rPr>
            <w:rStyle w:val="Hyperlink"/>
            <w:rFonts w:ascii="Century Gothic" w:hAnsi="Century Gothic"/>
            <w:sz w:val="22"/>
            <w:szCs w:val="22"/>
          </w:rPr>
          <w:t>Presentation of Statements of Comprehensive Income</w:t>
        </w:r>
      </w:hyperlink>
      <w:r w:rsidRPr="00601B1A">
        <w:tab/>
      </w:r>
      <w:r w:rsidR="00465790" w:rsidRPr="00601B1A">
        <w:t>8</w:t>
      </w:r>
    </w:p>
    <w:p w14:paraId="156127E6" w14:textId="3D5C4E08" w:rsidR="00DF7DFD" w:rsidRPr="00601B1A" w:rsidRDefault="00F62BB8" w:rsidP="00055752">
      <w:pPr>
        <w:pStyle w:val="TOC1"/>
      </w:pPr>
      <w:r w:rsidRPr="00601B1A">
        <w:t xml:space="preserve">       3.3  </w:t>
      </w:r>
      <w:hyperlink w:anchor="Disclosures" w:history="1">
        <w:r w:rsidRPr="00601B1A">
          <w:rPr>
            <w:rStyle w:val="Hyperlink"/>
            <w:rFonts w:ascii="Century Gothic" w:hAnsi="Century Gothic"/>
            <w:sz w:val="22"/>
            <w:szCs w:val="22"/>
          </w:rPr>
          <w:t>Consolidated Financial Statement Disclosures</w:t>
        </w:r>
      </w:hyperlink>
      <w:r w:rsidRPr="00601B1A">
        <w:tab/>
      </w:r>
      <w:r w:rsidR="00465790" w:rsidRPr="00601B1A">
        <w:t>8</w:t>
      </w:r>
    </w:p>
    <w:p w14:paraId="4B445BF3" w14:textId="0ABC03D2" w:rsidR="00DF7DFD" w:rsidRPr="00601B1A" w:rsidRDefault="00F62BB8" w:rsidP="00055752">
      <w:pPr>
        <w:pStyle w:val="TOC1"/>
      </w:pPr>
      <w:r w:rsidRPr="00601B1A">
        <w:t xml:space="preserve">       3.4  </w:t>
      </w:r>
      <w:hyperlink w:anchor="CreditRisk" w:history="1">
        <w:r w:rsidRPr="00601B1A">
          <w:rPr>
            <w:rStyle w:val="Hyperlink"/>
            <w:rFonts w:ascii="Century Gothic" w:hAnsi="Century Gothic"/>
            <w:sz w:val="22"/>
            <w:szCs w:val="22"/>
          </w:rPr>
          <w:t>Concentration of Credit Risk</w:t>
        </w:r>
      </w:hyperlink>
      <w:r w:rsidRPr="00601B1A">
        <w:tab/>
      </w:r>
      <w:r w:rsidR="00465790" w:rsidRPr="00601B1A">
        <w:t>8</w:t>
      </w:r>
    </w:p>
    <w:p w14:paraId="468AEF16" w14:textId="0144ECB1" w:rsidR="00E9612D" w:rsidRPr="00601B1A" w:rsidRDefault="00F62BB8" w:rsidP="00055752">
      <w:pPr>
        <w:pStyle w:val="TOC1"/>
      </w:pPr>
      <w:r w:rsidRPr="00601B1A">
        <w:t xml:space="preserve">       3.5  </w:t>
      </w:r>
      <w:hyperlink w:anchor="NonGAAP" w:history="1">
        <w:r w:rsidRPr="00601B1A">
          <w:rPr>
            <w:rStyle w:val="Hyperlink"/>
            <w:rFonts w:ascii="Century Gothic" w:hAnsi="Century Gothic"/>
            <w:sz w:val="22"/>
            <w:szCs w:val="22"/>
          </w:rPr>
          <w:t>Non-GAAP Measures</w:t>
        </w:r>
      </w:hyperlink>
      <w:r w:rsidRPr="00601B1A">
        <w:tab/>
      </w:r>
      <w:r w:rsidR="00465790" w:rsidRPr="00601B1A">
        <w:t>9</w:t>
      </w:r>
    </w:p>
    <w:p w14:paraId="3DE500AD" w14:textId="3D4E4697" w:rsidR="00FD6B26" w:rsidRPr="00601B1A" w:rsidRDefault="00FD6B26" w:rsidP="00F43A5B">
      <w:pPr>
        <w:pStyle w:val="Heading1"/>
        <w:tabs>
          <w:tab w:val="right" w:leader="dot" w:pos="9605"/>
        </w:tabs>
        <w:rPr>
          <w:rStyle w:val="Hyperlink"/>
          <w:rFonts w:ascii="Century Gothic" w:hAnsi="Century Gothic"/>
          <w:b w:val="0"/>
          <w:sz w:val="22"/>
          <w:szCs w:val="22"/>
          <w:u w:val="none"/>
        </w:rPr>
      </w:pPr>
      <w:r w:rsidRPr="00601B1A">
        <w:rPr>
          <w:rFonts w:ascii="Century Gothic" w:hAnsi="Century Gothic"/>
          <w:b w:val="0"/>
          <w:sz w:val="22"/>
          <w:szCs w:val="22"/>
        </w:rPr>
        <w:t xml:space="preserve">       3.6  </w:t>
      </w:r>
      <w:hyperlink w:anchor="NonGAAP" w:history="1">
        <w:r w:rsidR="005407AF" w:rsidRPr="00601B1A">
          <w:rPr>
            <w:rStyle w:val="Hyperlink"/>
            <w:rFonts w:ascii="Century Gothic" w:hAnsi="Century Gothic"/>
            <w:b w:val="0"/>
            <w:bCs/>
            <w:sz w:val="22"/>
            <w:szCs w:val="22"/>
          </w:rPr>
          <w:t>Related Party Transactions</w:t>
        </w:r>
      </w:hyperlink>
      <w:r w:rsidR="00F43A5B" w:rsidRPr="00601B1A">
        <w:rPr>
          <w:rFonts w:ascii="Century Gothic" w:hAnsi="Century Gothic"/>
          <w:b w:val="0"/>
          <w:bCs/>
          <w:sz w:val="22"/>
          <w:szCs w:val="22"/>
        </w:rPr>
        <w:tab/>
      </w:r>
      <w:r w:rsidR="00465790" w:rsidRPr="00601B1A">
        <w:rPr>
          <w:rFonts w:ascii="Century Gothic" w:hAnsi="Century Gothic"/>
          <w:b w:val="0"/>
          <w:bCs/>
          <w:sz w:val="22"/>
          <w:szCs w:val="22"/>
        </w:rPr>
        <w:t>9</w:t>
      </w:r>
    </w:p>
    <w:p w14:paraId="2BEBDB25" w14:textId="6288D7FB" w:rsidR="005407AF" w:rsidRPr="00601B1A" w:rsidRDefault="00097B7F" w:rsidP="00097B7F">
      <w:pPr>
        <w:rPr>
          <w:rFonts w:ascii="Century Gothic" w:hAnsi="Century Gothic"/>
          <w:sz w:val="22"/>
          <w:szCs w:val="22"/>
        </w:rPr>
      </w:pPr>
      <w:r w:rsidRPr="00601B1A">
        <w:rPr>
          <w:rStyle w:val="Hyperlink"/>
          <w:rFonts w:ascii="Century Gothic" w:hAnsi="Century Gothic"/>
          <w:sz w:val="22"/>
          <w:szCs w:val="22"/>
          <w:u w:val="none"/>
        </w:rPr>
        <w:t xml:space="preserve">       </w:t>
      </w:r>
      <w:r w:rsidRPr="00601B1A">
        <w:rPr>
          <w:rFonts w:ascii="Century Gothic" w:hAnsi="Century Gothic"/>
          <w:sz w:val="22"/>
          <w:szCs w:val="22"/>
        </w:rPr>
        <w:t>3.7</w:t>
      </w:r>
      <w:r w:rsidRPr="00601B1A">
        <w:rPr>
          <w:rStyle w:val="Hyperlink"/>
          <w:rFonts w:ascii="Century Gothic" w:hAnsi="Century Gothic"/>
          <w:sz w:val="22"/>
          <w:szCs w:val="22"/>
          <w:u w:val="none"/>
        </w:rPr>
        <w:t xml:space="preserve">  </w:t>
      </w:r>
      <w:hyperlink w:anchor="_Financial_Statement_Presentation" w:history="1">
        <w:r w:rsidR="00DE76A1" w:rsidRPr="00601B1A">
          <w:rPr>
            <w:rStyle w:val="Hyperlink"/>
            <w:rFonts w:ascii="Century Gothic" w:hAnsi="Century Gothic"/>
            <w:sz w:val="22"/>
            <w:szCs w:val="22"/>
          </w:rPr>
          <w:t>Subsequent Events</w:t>
        </w:r>
      </w:hyperlink>
      <w:r w:rsidR="00DE76A1" w:rsidRPr="00601B1A">
        <w:rPr>
          <w:rStyle w:val="Hyperlink"/>
          <w:rFonts w:ascii="Century Gothic" w:hAnsi="Century Gothic"/>
          <w:color w:val="000000" w:themeColor="text1"/>
          <w:sz w:val="22"/>
          <w:szCs w:val="22"/>
          <w:u w:val="none"/>
        </w:rPr>
        <w:t>…</w:t>
      </w:r>
      <w:r w:rsidRPr="00601B1A">
        <w:rPr>
          <w:rStyle w:val="Hyperlink"/>
          <w:rFonts w:ascii="Century Gothic" w:hAnsi="Century Gothic"/>
          <w:color w:val="000000" w:themeColor="text1"/>
          <w:sz w:val="22"/>
          <w:szCs w:val="22"/>
          <w:u w:val="none"/>
        </w:rPr>
        <w:t>……………………………………………………………………</w:t>
      </w:r>
      <w:proofErr w:type="gramStart"/>
      <w:r w:rsidRPr="00601B1A">
        <w:rPr>
          <w:rStyle w:val="Hyperlink"/>
          <w:rFonts w:ascii="Century Gothic" w:hAnsi="Century Gothic"/>
          <w:color w:val="000000" w:themeColor="text1"/>
          <w:sz w:val="22"/>
          <w:szCs w:val="22"/>
          <w:u w:val="none"/>
        </w:rPr>
        <w:t>…..…</w:t>
      </w:r>
      <w:r w:rsidR="00465790" w:rsidRPr="00601B1A">
        <w:rPr>
          <w:rStyle w:val="Hyperlink"/>
          <w:rFonts w:ascii="Century Gothic" w:hAnsi="Century Gothic"/>
          <w:color w:val="000000" w:themeColor="text1"/>
          <w:sz w:val="22"/>
          <w:szCs w:val="22"/>
          <w:u w:val="none"/>
        </w:rPr>
        <w:t>..</w:t>
      </w:r>
      <w:proofErr w:type="gramEnd"/>
      <w:r w:rsidR="00465790" w:rsidRPr="00601B1A">
        <w:rPr>
          <w:rFonts w:ascii="Century Gothic" w:hAnsi="Century Gothic"/>
          <w:bCs/>
          <w:sz w:val="22"/>
          <w:szCs w:val="22"/>
        </w:rPr>
        <w:t>9</w:t>
      </w:r>
    </w:p>
    <w:p w14:paraId="41B2AE85" w14:textId="479A7D74"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4.   </w:t>
      </w:r>
      <w:hyperlink w:anchor="_Segment_Reporting" w:history="1">
        <w:r w:rsidRPr="00601B1A">
          <w:rPr>
            <w:rStyle w:val="Hyperlink"/>
            <w:rFonts w:ascii="Century Gothic" w:hAnsi="Century Gothic"/>
            <w:sz w:val="22"/>
            <w:szCs w:val="22"/>
          </w:rPr>
          <w:t>Segment Reporting</w:t>
        </w:r>
      </w:hyperlink>
      <w:r w:rsidRPr="00601B1A">
        <w:rPr>
          <w:rFonts w:ascii="Century Gothic" w:hAnsi="Century Gothic"/>
          <w:sz w:val="22"/>
          <w:szCs w:val="22"/>
        </w:rPr>
        <w:tab/>
      </w:r>
      <w:r w:rsidR="00915D31" w:rsidRPr="00601B1A">
        <w:rPr>
          <w:rFonts w:ascii="Century Gothic" w:hAnsi="Century Gothic"/>
          <w:sz w:val="22"/>
          <w:szCs w:val="22"/>
        </w:rPr>
        <w:t>1</w:t>
      </w:r>
      <w:r w:rsidR="00465790" w:rsidRPr="00601B1A">
        <w:rPr>
          <w:rFonts w:ascii="Century Gothic" w:hAnsi="Century Gothic"/>
          <w:sz w:val="22"/>
          <w:szCs w:val="22"/>
        </w:rPr>
        <w:t>0</w:t>
      </w:r>
    </w:p>
    <w:p w14:paraId="7EDDE9C5" w14:textId="7D736C9C"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5.   </w:t>
      </w:r>
      <w:hyperlink w:anchor="_Use_of_Estimates/Sensitive" w:history="1">
        <w:r w:rsidRPr="00601B1A">
          <w:rPr>
            <w:rStyle w:val="Hyperlink"/>
            <w:rFonts w:ascii="Century Gothic" w:hAnsi="Century Gothic"/>
            <w:sz w:val="22"/>
            <w:szCs w:val="22"/>
          </w:rPr>
          <w:t>Use of Estimates</w:t>
        </w:r>
      </w:hyperlink>
      <w:r w:rsidR="00DF0A5A" w:rsidRPr="00601B1A">
        <w:rPr>
          <w:rStyle w:val="Hyperlink"/>
          <w:rFonts w:ascii="Century Gothic" w:hAnsi="Century Gothic"/>
          <w:sz w:val="22"/>
          <w:szCs w:val="22"/>
        </w:rPr>
        <w:t>/Sensitive Estimates</w:t>
      </w:r>
      <w:r w:rsidRPr="00601B1A">
        <w:rPr>
          <w:rFonts w:ascii="Century Gothic" w:hAnsi="Century Gothic"/>
          <w:sz w:val="22"/>
          <w:szCs w:val="22"/>
        </w:rPr>
        <w:tab/>
      </w:r>
      <w:r w:rsidR="00915D31" w:rsidRPr="00601B1A">
        <w:rPr>
          <w:rFonts w:ascii="Century Gothic" w:hAnsi="Century Gothic"/>
          <w:sz w:val="22"/>
          <w:szCs w:val="22"/>
        </w:rPr>
        <w:t>1</w:t>
      </w:r>
      <w:r w:rsidR="00601B1A" w:rsidRPr="00601B1A">
        <w:rPr>
          <w:rFonts w:ascii="Century Gothic" w:hAnsi="Century Gothic"/>
          <w:sz w:val="22"/>
          <w:szCs w:val="22"/>
        </w:rPr>
        <w:t>1</w:t>
      </w:r>
    </w:p>
    <w:p w14:paraId="225E3962" w14:textId="25326F75" w:rsidR="00DF7DFD" w:rsidRPr="00601B1A" w:rsidRDefault="00F62BB8" w:rsidP="00055752">
      <w:pPr>
        <w:pStyle w:val="TOC1"/>
      </w:pPr>
      <w:r w:rsidRPr="00601B1A">
        <w:t xml:space="preserve">6.   </w:t>
      </w:r>
      <w:hyperlink w:anchor="_Cash_and_Cash" w:history="1">
        <w:r w:rsidRPr="00601B1A">
          <w:rPr>
            <w:rStyle w:val="Hyperlink"/>
            <w:rFonts w:ascii="Century Gothic" w:hAnsi="Century Gothic"/>
            <w:sz w:val="22"/>
            <w:szCs w:val="22"/>
          </w:rPr>
          <w:t>Cash</w:t>
        </w:r>
        <w:r w:rsidR="00DF0A5A" w:rsidRPr="00601B1A">
          <w:rPr>
            <w:rStyle w:val="Hyperlink"/>
            <w:rFonts w:ascii="Century Gothic" w:hAnsi="Century Gothic"/>
            <w:sz w:val="22"/>
            <w:szCs w:val="22"/>
          </w:rPr>
          <w:t xml:space="preserve">, </w:t>
        </w:r>
        <w:r w:rsidRPr="00601B1A">
          <w:rPr>
            <w:rStyle w:val="Hyperlink"/>
            <w:rFonts w:ascii="Century Gothic" w:hAnsi="Century Gothic"/>
            <w:sz w:val="22"/>
            <w:szCs w:val="22"/>
          </w:rPr>
          <w:t>Cash Equivalents</w:t>
        </w:r>
      </w:hyperlink>
      <w:r w:rsidR="00DF0A5A" w:rsidRPr="00601B1A">
        <w:rPr>
          <w:rStyle w:val="Hyperlink"/>
          <w:rFonts w:ascii="Century Gothic" w:hAnsi="Century Gothic"/>
          <w:sz w:val="22"/>
          <w:szCs w:val="22"/>
        </w:rPr>
        <w:t xml:space="preserve"> and Restricted Cash</w:t>
      </w:r>
      <w:r w:rsidRPr="00601B1A">
        <w:tab/>
      </w:r>
      <w:r w:rsidR="001E0408" w:rsidRPr="00601B1A">
        <w:t>1</w:t>
      </w:r>
      <w:r w:rsidR="00601B1A" w:rsidRPr="00601B1A">
        <w:t>1</w:t>
      </w:r>
    </w:p>
    <w:p w14:paraId="13CC202C" w14:textId="33A1632D"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7.   </w:t>
      </w:r>
      <w:hyperlink w:anchor="_Accounts_Receivables_and" w:history="1">
        <w:r w:rsidRPr="00601B1A">
          <w:rPr>
            <w:rStyle w:val="Hyperlink"/>
            <w:rFonts w:ascii="Century Gothic" w:hAnsi="Century Gothic"/>
            <w:sz w:val="22"/>
            <w:szCs w:val="22"/>
          </w:rPr>
          <w:t>Accounts Receivable</w:t>
        </w:r>
      </w:hyperlink>
      <w:r w:rsidRPr="00601B1A">
        <w:rPr>
          <w:rFonts w:ascii="Century Gothic" w:hAnsi="Century Gothic"/>
          <w:sz w:val="22"/>
          <w:szCs w:val="22"/>
        </w:rPr>
        <w:tab/>
      </w:r>
      <w:r w:rsidR="00915D31" w:rsidRPr="00601B1A">
        <w:rPr>
          <w:rFonts w:ascii="Century Gothic" w:hAnsi="Century Gothic"/>
          <w:sz w:val="22"/>
          <w:szCs w:val="22"/>
        </w:rPr>
        <w:t>1</w:t>
      </w:r>
      <w:r w:rsidR="00601B1A" w:rsidRPr="00601B1A">
        <w:rPr>
          <w:rFonts w:ascii="Century Gothic" w:hAnsi="Century Gothic"/>
          <w:sz w:val="22"/>
          <w:szCs w:val="22"/>
        </w:rPr>
        <w:t>1</w:t>
      </w:r>
    </w:p>
    <w:p w14:paraId="18FAFAF9" w14:textId="64373123"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8.   </w:t>
      </w:r>
      <w:hyperlink w:anchor="_Credit_Limits" w:history="1">
        <w:r w:rsidRPr="00601B1A">
          <w:rPr>
            <w:rStyle w:val="Hyperlink"/>
            <w:rFonts w:ascii="Century Gothic" w:hAnsi="Century Gothic"/>
            <w:sz w:val="22"/>
            <w:szCs w:val="22"/>
          </w:rPr>
          <w:t>Credit Limits</w:t>
        </w:r>
      </w:hyperlink>
      <w:r w:rsidRPr="00601B1A">
        <w:rPr>
          <w:rFonts w:ascii="Century Gothic" w:hAnsi="Century Gothic"/>
          <w:sz w:val="22"/>
          <w:szCs w:val="22"/>
        </w:rPr>
        <w:tab/>
      </w:r>
      <w:r w:rsidR="00915D31" w:rsidRPr="00601B1A">
        <w:rPr>
          <w:rFonts w:ascii="Century Gothic" w:hAnsi="Century Gothic"/>
          <w:sz w:val="22"/>
          <w:szCs w:val="22"/>
        </w:rPr>
        <w:t>1</w:t>
      </w:r>
      <w:r w:rsidR="00465790" w:rsidRPr="00601B1A">
        <w:rPr>
          <w:rFonts w:ascii="Century Gothic" w:hAnsi="Century Gothic"/>
          <w:sz w:val="22"/>
          <w:szCs w:val="22"/>
        </w:rPr>
        <w:t>2</w:t>
      </w:r>
    </w:p>
    <w:p w14:paraId="6F7AE4C4" w14:textId="204E0D29"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9. </w:t>
      </w:r>
      <w:r w:rsidR="002753D4" w:rsidRPr="00601B1A">
        <w:rPr>
          <w:rFonts w:ascii="Century Gothic" w:hAnsi="Century Gothic"/>
          <w:sz w:val="22"/>
          <w:szCs w:val="22"/>
        </w:rPr>
        <w:t xml:space="preserve">  </w:t>
      </w:r>
      <w:hyperlink w:anchor="_Inventories" w:history="1">
        <w:r w:rsidRPr="00601B1A">
          <w:rPr>
            <w:rStyle w:val="Hyperlink"/>
            <w:rFonts w:ascii="Century Gothic" w:hAnsi="Century Gothic"/>
            <w:sz w:val="22"/>
            <w:szCs w:val="22"/>
          </w:rPr>
          <w:t xml:space="preserve"> Inventories</w:t>
        </w:r>
      </w:hyperlink>
      <w:r w:rsidRPr="00601B1A">
        <w:rPr>
          <w:rFonts w:ascii="Century Gothic" w:hAnsi="Century Gothic"/>
          <w:sz w:val="22"/>
          <w:szCs w:val="22"/>
        </w:rPr>
        <w:tab/>
      </w:r>
      <w:r w:rsidR="00915D31" w:rsidRPr="00601B1A">
        <w:rPr>
          <w:rFonts w:ascii="Century Gothic" w:hAnsi="Century Gothic"/>
          <w:sz w:val="22"/>
          <w:szCs w:val="22"/>
        </w:rPr>
        <w:t>1</w:t>
      </w:r>
      <w:r w:rsidR="00465790" w:rsidRPr="00601B1A">
        <w:rPr>
          <w:rFonts w:ascii="Century Gothic" w:hAnsi="Century Gothic"/>
          <w:sz w:val="22"/>
          <w:szCs w:val="22"/>
        </w:rPr>
        <w:t>3</w:t>
      </w:r>
    </w:p>
    <w:p w14:paraId="58A729E3" w14:textId="719924FE"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       9.1  </w:t>
      </w:r>
      <w:hyperlink w:anchor="_Inventories" w:history="1">
        <w:r w:rsidRPr="00601B1A">
          <w:rPr>
            <w:rStyle w:val="Hyperlink"/>
            <w:rFonts w:ascii="Century Gothic" w:hAnsi="Century Gothic"/>
            <w:sz w:val="22"/>
            <w:szCs w:val="22"/>
          </w:rPr>
          <w:t>Genera</w:t>
        </w:r>
      </w:hyperlink>
      <w:r w:rsidRPr="00601B1A">
        <w:rPr>
          <w:rFonts w:ascii="Century Gothic" w:hAnsi="Century Gothic"/>
          <w:sz w:val="22"/>
          <w:szCs w:val="22"/>
        </w:rPr>
        <w:t>l</w:t>
      </w:r>
      <w:r w:rsidRPr="00601B1A">
        <w:rPr>
          <w:rFonts w:ascii="Century Gothic" w:hAnsi="Century Gothic"/>
          <w:sz w:val="22"/>
          <w:szCs w:val="22"/>
        </w:rPr>
        <w:tab/>
      </w:r>
      <w:r w:rsidR="00915D31" w:rsidRPr="00601B1A">
        <w:rPr>
          <w:rFonts w:ascii="Century Gothic" w:hAnsi="Century Gothic"/>
          <w:sz w:val="22"/>
          <w:szCs w:val="22"/>
        </w:rPr>
        <w:t>1</w:t>
      </w:r>
      <w:r w:rsidR="00465790" w:rsidRPr="00601B1A">
        <w:rPr>
          <w:rFonts w:ascii="Century Gothic" w:hAnsi="Century Gothic"/>
          <w:sz w:val="22"/>
          <w:szCs w:val="22"/>
        </w:rPr>
        <w:t>3</w:t>
      </w:r>
    </w:p>
    <w:p w14:paraId="1FFEDEE1" w14:textId="2DC06F5D"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       9.2  </w:t>
      </w:r>
      <w:hyperlink w:anchor="_9.2_Standard_Costing" w:history="1">
        <w:r w:rsidRPr="00601B1A">
          <w:rPr>
            <w:rStyle w:val="Hyperlink"/>
            <w:rFonts w:ascii="Century Gothic" w:hAnsi="Century Gothic"/>
            <w:sz w:val="22"/>
            <w:szCs w:val="22"/>
          </w:rPr>
          <w:t>Standard Costing</w:t>
        </w:r>
      </w:hyperlink>
      <w:r w:rsidRPr="00601B1A">
        <w:rPr>
          <w:rFonts w:ascii="Century Gothic" w:hAnsi="Century Gothic"/>
          <w:sz w:val="22"/>
          <w:szCs w:val="22"/>
        </w:rPr>
        <w:tab/>
      </w:r>
      <w:r w:rsidR="00915D31" w:rsidRPr="00601B1A">
        <w:rPr>
          <w:rFonts w:ascii="Century Gothic" w:hAnsi="Century Gothic"/>
          <w:sz w:val="22"/>
          <w:szCs w:val="22"/>
        </w:rPr>
        <w:t>1</w:t>
      </w:r>
      <w:r w:rsidR="00465790" w:rsidRPr="00601B1A">
        <w:rPr>
          <w:rFonts w:ascii="Century Gothic" w:hAnsi="Century Gothic"/>
          <w:sz w:val="22"/>
          <w:szCs w:val="22"/>
        </w:rPr>
        <w:t>3</w:t>
      </w:r>
    </w:p>
    <w:p w14:paraId="0FB9296B" w14:textId="386789D9" w:rsidR="00DF7DFD" w:rsidRPr="00601B1A" w:rsidRDefault="00F62BB8" w:rsidP="00055752">
      <w:pPr>
        <w:pStyle w:val="TOC1"/>
      </w:pPr>
      <w:r w:rsidRPr="00601B1A">
        <w:t xml:space="preserve">       9.3  </w:t>
      </w:r>
      <w:hyperlink w:anchor="_9.3_Capitalized_Depreciation" w:history="1">
        <w:r w:rsidRPr="00601B1A">
          <w:rPr>
            <w:rStyle w:val="Hyperlink"/>
            <w:rFonts w:ascii="Century Gothic" w:hAnsi="Century Gothic"/>
            <w:sz w:val="22"/>
            <w:szCs w:val="22"/>
          </w:rPr>
          <w:t>Capitalized Depreciation and Amortization</w:t>
        </w:r>
      </w:hyperlink>
      <w:r w:rsidRPr="00601B1A">
        <w:tab/>
      </w:r>
      <w:r w:rsidR="00915D31" w:rsidRPr="00601B1A">
        <w:t>1</w:t>
      </w:r>
      <w:r w:rsidR="00465790" w:rsidRPr="00601B1A">
        <w:t>4</w:t>
      </w:r>
    </w:p>
    <w:p w14:paraId="6CB4CF37" w14:textId="247E8C42" w:rsidR="003F3CD5" w:rsidRPr="00601B1A" w:rsidRDefault="003F3CD5" w:rsidP="00504504">
      <w:pPr>
        <w:tabs>
          <w:tab w:val="right" w:leader="dot" w:pos="9605"/>
        </w:tabs>
        <w:ind w:right="-29"/>
        <w:rPr>
          <w:rFonts w:ascii="Century Gothic" w:hAnsi="Century Gothic"/>
          <w:sz w:val="22"/>
          <w:szCs w:val="22"/>
        </w:rPr>
      </w:pPr>
      <w:r w:rsidRPr="00601B1A">
        <w:rPr>
          <w:rFonts w:ascii="Century Gothic" w:hAnsi="Century Gothic"/>
          <w:sz w:val="22"/>
          <w:szCs w:val="22"/>
        </w:rPr>
        <w:t xml:space="preserve">       9.4  </w:t>
      </w:r>
      <w:hyperlink w:anchor="_9.4_Amortization_Threshold" w:history="1">
        <w:r w:rsidR="00504504" w:rsidRPr="00601B1A">
          <w:rPr>
            <w:rStyle w:val="Hyperlink"/>
            <w:rFonts w:ascii="Century Gothic" w:hAnsi="Century Gothic"/>
            <w:sz w:val="22"/>
            <w:szCs w:val="22"/>
          </w:rPr>
          <w:t>Amortization Threshold Amount</w:t>
        </w:r>
      </w:hyperlink>
      <w:r w:rsidR="00504504" w:rsidRPr="00601B1A">
        <w:rPr>
          <w:rFonts w:ascii="Century Gothic" w:hAnsi="Century Gothic"/>
          <w:sz w:val="22"/>
          <w:szCs w:val="22"/>
        </w:rPr>
        <w:tab/>
        <w:t>1</w:t>
      </w:r>
      <w:r w:rsidR="00CC47F6">
        <w:rPr>
          <w:rFonts w:ascii="Century Gothic" w:hAnsi="Century Gothic"/>
          <w:sz w:val="22"/>
          <w:szCs w:val="22"/>
        </w:rPr>
        <w:t>3</w:t>
      </w:r>
    </w:p>
    <w:p w14:paraId="4D76B2E1" w14:textId="5660B035"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       9.</w:t>
      </w:r>
      <w:r w:rsidR="00504504" w:rsidRPr="00601B1A">
        <w:rPr>
          <w:rFonts w:ascii="Century Gothic" w:hAnsi="Century Gothic"/>
          <w:sz w:val="22"/>
          <w:szCs w:val="22"/>
        </w:rPr>
        <w:t>5</w:t>
      </w:r>
      <w:r w:rsidRPr="00601B1A">
        <w:rPr>
          <w:rFonts w:ascii="Century Gothic" w:hAnsi="Century Gothic"/>
          <w:sz w:val="22"/>
          <w:szCs w:val="22"/>
        </w:rPr>
        <w:t xml:space="preserve">  </w:t>
      </w:r>
      <w:hyperlink w:anchor="_9.4_Inventory_Reserves" w:history="1">
        <w:r w:rsidRPr="00601B1A">
          <w:rPr>
            <w:rStyle w:val="Hyperlink"/>
            <w:rFonts w:ascii="Century Gothic" w:hAnsi="Century Gothic"/>
            <w:sz w:val="22"/>
            <w:szCs w:val="22"/>
          </w:rPr>
          <w:t>Inventory Reserves</w:t>
        </w:r>
      </w:hyperlink>
      <w:r w:rsidRPr="00601B1A">
        <w:rPr>
          <w:rFonts w:ascii="Century Gothic" w:hAnsi="Century Gothic"/>
          <w:sz w:val="22"/>
          <w:szCs w:val="22"/>
        </w:rPr>
        <w:tab/>
      </w:r>
      <w:r w:rsidR="001E0408" w:rsidRPr="00601B1A">
        <w:rPr>
          <w:rFonts w:ascii="Century Gothic" w:hAnsi="Century Gothic"/>
          <w:sz w:val="22"/>
          <w:szCs w:val="22"/>
        </w:rPr>
        <w:t>1</w:t>
      </w:r>
      <w:r w:rsidR="00465790" w:rsidRPr="00601B1A">
        <w:rPr>
          <w:rFonts w:ascii="Century Gothic" w:hAnsi="Century Gothic"/>
          <w:sz w:val="22"/>
          <w:szCs w:val="22"/>
        </w:rPr>
        <w:t>4</w:t>
      </w:r>
    </w:p>
    <w:p w14:paraId="5DB946BD" w14:textId="0CA2CD7F" w:rsidR="00DF7DFD" w:rsidRDefault="00F62BB8" w:rsidP="00055752">
      <w:pPr>
        <w:pStyle w:val="TOC1"/>
      </w:pPr>
      <w:r w:rsidRPr="00601B1A">
        <w:t xml:space="preserve">       9.</w:t>
      </w:r>
      <w:r w:rsidR="00504504" w:rsidRPr="00601B1A">
        <w:t>6</w:t>
      </w:r>
      <w:r w:rsidRPr="00601B1A">
        <w:t xml:space="preserve">  </w:t>
      </w:r>
      <w:hyperlink w:anchor="_9.5_Product_Samples" w:history="1">
        <w:r w:rsidRPr="00601B1A">
          <w:rPr>
            <w:rStyle w:val="Hyperlink"/>
            <w:rFonts w:ascii="Century Gothic" w:hAnsi="Century Gothic"/>
            <w:sz w:val="22"/>
            <w:szCs w:val="22"/>
          </w:rPr>
          <w:t>Product Samples and Free Product</w:t>
        </w:r>
      </w:hyperlink>
      <w:r w:rsidRPr="00601B1A">
        <w:tab/>
      </w:r>
      <w:r w:rsidR="001E0408" w:rsidRPr="00601B1A">
        <w:t>1</w:t>
      </w:r>
      <w:r w:rsidR="00CC47F6">
        <w:t>6</w:t>
      </w:r>
    </w:p>
    <w:p w14:paraId="0483C14C" w14:textId="586090EE" w:rsidR="00837A8D" w:rsidRDefault="00055752" w:rsidP="00055752">
      <w:pPr>
        <w:tabs>
          <w:tab w:val="right" w:leader="dot" w:pos="9605"/>
        </w:tabs>
        <w:ind w:firstLine="360"/>
      </w:pPr>
      <w:r>
        <w:t xml:space="preserve"> </w:t>
      </w:r>
      <w:proofErr w:type="gramStart"/>
      <w:r w:rsidR="00837A8D">
        <w:t xml:space="preserve">9.7 </w:t>
      </w:r>
      <w:r w:rsidR="009A1167">
        <w:t xml:space="preserve"> </w:t>
      </w:r>
      <w:r w:rsidRPr="006A1F41">
        <w:rPr>
          <w:color w:val="0000FF"/>
          <w:u w:val="single"/>
        </w:rPr>
        <w:t>Inventory</w:t>
      </w:r>
      <w:proofErr w:type="gramEnd"/>
      <w:r w:rsidRPr="006A1F41">
        <w:rPr>
          <w:color w:val="0000FF"/>
          <w:u w:val="single"/>
        </w:rPr>
        <w:t xml:space="preserve"> Write-off and </w:t>
      </w:r>
      <w:r w:rsidR="002526D6">
        <w:rPr>
          <w:color w:val="0000FF"/>
          <w:u w:val="single"/>
        </w:rPr>
        <w:t>Physical Count Adjustments</w:t>
      </w:r>
      <w:r w:rsidRPr="006A1F41">
        <w:rPr>
          <w:color w:val="0000FF"/>
          <w:u w:val="single"/>
        </w:rPr>
        <w:t xml:space="preserve"> approval limits</w:t>
      </w:r>
      <w:r>
        <w:tab/>
      </w:r>
      <w:r w:rsidR="002B6CB3">
        <w:t>16</w:t>
      </w:r>
    </w:p>
    <w:p w14:paraId="2DE76BB1" w14:textId="4EDFDE9C" w:rsidR="002B6CB3" w:rsidRPr="009A1167" w:rsidRDefault="002B6CB3" w:rsidP="009A1167">
      <w:pPr>
        <w:tabs>
          <w:tab w:val="right" w:leader="dot" w:pos="9605"/>
        </w:tabs>
        <w:ind w:firstLine="360"/>
      </w:pPr>
      <w:r>
        <w:t xml:space="preserve"> </w:t>
      </w:r>
      <w:proofErr w:type="gramStart"/>
      <w:r>
        <w:t xml:space="preserve">9.8 </w:t>
      </w:r>
      <w:r w:rsidR="009A1167">
        <w:t xml:space="preserve"> </w:t>
      </w:r>
      <w:r w:rsidRPr="006A1F41">
        <w:rPr>
          <w:color w:val="0000FF"/>
          <w:u w:val="single"/>
        </w:rPr>
        <w:t>Vendor</w:t>
      </w:r>
      <w:proofErr w:type="gramEnd"/>
      <w:r w:rsidRPr="006A1F41">
        <w:rPr>
          <w:color w:val="0000FF"/>
          <w:u w:val="single"/>
        </w:rPr>
        <w:t xml:space="preserve"> held inventory confirmations</w:t>
      </w:r>
      <w:r>
        <w:tab/>
        <w:t>1</w:t>
      </w:r>
      <w:r w:rsidR="00CC47F6">
        <w:t>6</w:t>
      </w:r>
    </w:p>
    <w:p w14:paraId="27DBBB2B" w14:textId="3C3475B9" w:rsidR="00DF7DFD" w:rsidRPr="00601B1A" w:rsidRDefault="00F62BB8" w:rsidP="00055752">
      <w:pPr>
        <w:pStyle w:val="TOC1"/>
      </w:pPr>
      <w:r w:rsidRPr="00601B1A">
        <w:t xml:space="preserve">10.  </w:t>
      </w:r>
      <w:hyperlink w:anchor="_Prepaid_and_Other" w:history="1">
        <w:r w:rsidRPr="00601B1A">
          <w:rPr>
            <w:rStyle w:val="Hyperlink"/>
            <w:rFonts w:ascii="Century Gothic" w:hAnsi="Century Gothic"/>
            <w:sz w:val="22"/>
            <w:szCs w:val="22"/>
          </w:rPr>
          <w:t>Prepaid</w:t>
        </w:r>
        <w:r w:rsidR="00DF0A5A" w:rsidRPr="00601B1A">
          <w:rPr>
            <w:rStyle w:val="Hyperlink"/>
            <w:rFonts w:ascii="Century Gothic" w:hAnsi="Century Gothic"/>
            <w:sz w:val="22"/>
            <w:szCs w:val="22"/>
          </w:rPr>
          <w:t>, Deferred Charges</w:t>
        </w:r>
        <w:r w:rsidRPr="00601B1A">
          <w:rPr>
            <w:rStyle w:val="Hyperlink"/>
            <w:rFonts w:ascii="Century Gothic" w:hAnsi="Century Gothic"/>
            <w:sz w:val="22"/>
            <w:szCs w:val="22"/>
          </w:rPr>
          <w:t xml:space="preserve"> and Other Current Assets</w:t>
        </w:r>
      </w:hyperlink>
      <w:r w:rsidRPr="00601B1A">
        <w:tab/>
      </w:r>
      <w:r w:rsidR="00915D31" w:rsidRPr="00CC47F6">
        <w:t>1</w:t>
      </w:r>
      <w:r w:rsidR="00504504" w:rsidRPr="00CC47F6">
        <w:t>6</w:t>
      </w:r>
    </w:p>
    <w:p w14:paraId="33A839C9" w14:textId="4A42D59E"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11.  </w:t>
      </w:r>
      <w:hyperlink w:anchor="_Fixed_Assets" w:history="1">
        <w:r w:rsidRPr="00601B1A">
          <w:rPr>
            <w:rStyle w:val="Hyperlink"/>
            <w:rFonts w:ascii="Century Gothic" w:hAnsi="Century Gothic"/>
            <w:sz w:val="22"/>
            <w:szCs w:val="22"/>
          </w:rPr>
          <w:t>Fixed Assets</w:t>
        </w:r>
      </w:hyperlink>
      <w:r w:rsidRPr="00601B1A">
        <w:rPr>
          <w:rFonts w:ascii="Century Gothic" w:hAnsi="Century Gothic"/>
          <w:sz w:val="22"/>
          <w:szCs w:val="22"/>
        </w:rPr>
        <w:tab/>
      </w:r>
      <w:r w:rsidR="009E477C" w:rsidRPr="00601B1A">
        <w:rPr>
          <w:rFonts w:ascii="Century Gothic" w:hAnsi="Century Gothic"/>
          <w:sz w:val="22"/>
          <w:szCs w:val="22"/>
        </w:rPr>
        <w:t>1</w:t>
      </w:r>
      <w:r w:rsidR="00CC47F6">
        <w:rPr>
          <w:rFonts w:ascii="Century Gothic" w:hAnsi="Century Gothic"/>
          <w:sz w:val="22"/>
          <w:szCs w:val="22"/>
        </w:rPr>
        <w:t>7</w:t>
      </w:r>
    </w:p>
    <w:p w14:paraId="57BDB3B4" w14:textId="7242134C" w:rsidR="00DF7DFD" w:rsidRPr="00601B1A" w:rsidRDefault="00F62BB8" w:rsidP="00055752">
      <w:pPr>
        <w:pStyle w:val="TOC1"/>
      </w:pPr>
      <w:r w:rsidRPr="00601B1A">
        <w:t xml:space="preserve">       11.1  </w:t>
      </w:r>
      <w:hyperlink w:anchor="_Fixed_Assets" w:history="1">
        <w:r w:rsidRPr="00601B1A">
          <w:rPr>
            <w:rStyle w:val="Hyperlink"/>
            <w:rFonts w:ascii="Century Gothic" w:hAnsi="Century Gothic"/>
            <w:sz w:val="22"/>
            <w:szCs w:val="22"/>
          </w:rPr>
          <w:t>Acquisitions and Capitalization</w:t>
        </w:r>
      </w:hyperlink>
      <w:r w:rsidRPr="00601B1A">
        <w:tab/>
      </w:r>
      <w:r w:rsidR="009E477C" w:rsidRPr="00601B1A">
        <w:t>1</w:t>
      </w:r>
      <w:r w:rsidR="00CC47F6">
        <w:t>7</w:t>
      </w:r>
    </w:p>
    <w:p w14:paraId="23A3D882" w14:textId="3B9976BF"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       </w:t>
      </w:r>
      <w:r w:rsidRPr="009A1167">
        <w:rPr>
          <w:szCs w:val="24"/>
        </w:rPr>
        <w:t>11.2</w:t>
      </w:r>
      <w:r w:rsidRPr="00601B1A">
        <w:rPr>
          <w:rFonts w:ascii="Century Gothic" w:hAnsi="Century Gothic"/>
          <w:sz w:val="22"/>
          <w:szCs w:val="22"/>
        </w:rPr>
        <w:t xml:space="preserve">  </w:t>
      </w:r>
      <w:hyperlink w:anchor="Deprecitation" w:history="1">
        <w:r w:rsidRPr="00601B1A">
          <w:rPr>
            <w:rStyle w:val="Hyperlink"/>
            <w:rFonts w:ascii="Century Gothic" w:hAnsi="Century Gothic"/>
            <w:sz w:val="22"/>
            <w:szCs w:val="22"/>
          </w:rPr>
          <w:t>Depreciation</w:t>
        </w:r>
      </w:hyperlink>
      <w:r w:rsidRPr="00601B1A">
        <w:rPr>
          <w:rFonts w:ascii="Century Gothic" w:hAnsi="Century Gothic"/>
          <w:sz w:val="22"/>
          <w:szCs w:val="22"/>
        </w:rPr>
        <w:tab/>
      </w:r>
      <w:r w:rsidR="009E477C" w:rsidRPr="00601B1A">
        <w:rPr>
          <w:rFonts w:ascii="Century Gothic" w:hAnsi="Century Gothic"/>
          <w:sz w:val="22"/>
          <w:szCs w:val="22"/>
        </w:rPr>
        <w:t>1</w:t>
      </w:r>
      <w:r w:rsidR="000E6CE1">
        <w:rPr>
          <w:rFonts w:ascii="Century Gothic" w:hAnsi="Century Gothic"/>
          <w:sz w:val="22"/>
          <w:szCs w:val="22"/>
        </w:rPr>
        <w:t>7</w:t>
      </w:r>
    </w:p>
    <w:p w14:paraId="5FB5BE14" w14:textId="42E05BEF" w:rsidR="00DF7DFD" w:rsidRPr="00601B1A" w:rsidRDefault="00F62BB8" w:rsidP="00055752">
      <w:pPr>
        <w:pStyle w:val="TOC1"/>
      </w:pPr>
      <w:r w:rsidRPr="00601B1A">
        <w:t xml:space="preserve">       11.3  </w:t>
      </w:r>
      <w:hyperlink w:anchor="SWDevIntUse" w:history="1">
        <w:r w:rsidRPr="00601B1A">
          <w:rPr>
            <w:rStyle w:val="Hyperlink"/>
            <w:rFonts w:ascii="Century Gothic" w:hAnsi="Century Gothic"/>
            <w:sz w:val="22"/>
            <w:szCs w:val="22"/>
          </w:rPr>
          <w:t>Software Developed for Internal Use</w:t>
        </w:r>
      </w:hyperlink>
      <w:r w:rsidRPr="00601B1A">
        <w:tab/>
      </w:r>
      <w:r w:rsidR="001E0408" w:rsidRPr="00601B1A">
        <w:t>1</w:t>
      </w:r>
      <w:r w:rsidR="00353DBD">
        <w:t>8</w:t>
      </w:r>
    </w:p>
    <w:p w14:paraId="5A49F0B6" w14:textId="3C6FA292" w:rsidR="00DF7DFD" w:rsidRPr="00601B1A" w:rsidRDefault="00F62BB8" w:rsidP="00055752">
      <w:pPr>
        <w:pStyle w:val="TOC1"/>
      </w:pPr>
      <w:r w:rsidRPr="00601B1A">
        <w:t xml:space="preserve">       11.4  </w:t>
      </w:r>
      <w:hyperlink w:anchor="SWPurchIntUse" w:history="1">
        <w:r w:rsidRPr="00601B1A">
          <w:rPr>
            <w:rStyle w:val="Hyperlink"/>
            <w:rFonts w:ascii="Century Gothic" w:hAnsi="Century Gothic"/>
            <w:sz w:val="22"/>
            <w:szCs w:val="22"/>
          </w:rPr>
          <w:t>Software Purchased for Internal Use</w:t>
        </w:r>
      </w:hyperlink>
      <w:r w:rsidRPr="00601B1A">
        <w:tab/>
      </w:r>
      <w:r w:rsidR="00353DBD">
        <w:t>20</w:t>
      </w:r>
    </w:p>
    <w:p w14:paraId="61A46216" w14:textId="5CA7F664" w:rsidR="00DF7DFD" w:rsidRPr="00601B1A" w:rsidRDefault="00F62BB8" w:rsidP="00055752">
      <w:pPr>
        <w:pStyle w:val="TOC1"/>
      </w:pPr>
      <w:r w:rsidRPr="00601B1A">
        <w:t xml:space="preserve">       11.5  </w:t>
      </w:r>
      <w:hyperlink w:anchor="SAAS" w:history="1">
        <w:r w:rsidRPr="00601B1A">
          <w:rPr>
            <w:rStyle w:val="Hyperlink"/>
            <w:rFonts w:ascii="Century Gothic" w:hAnsi="Century Gothic"/>
            <w:sz w:val="22"/>
            <w:szCs w:val="22"/>
          </w:rPr>
          <w:t>Software Licensed through a Software as a Service (SaaS) contract</w:t>
        </w:r>
      </w:hyperlink>
      <w:r w:rsidRPr="00601B1A">
        <w:tab/>
      </w:r>
      <w:r w:rsidR="00504504" w:rsidRPr="00601B1A">
        <w:t>2</w:t>
      </w:r>
      <w:r w:rsidR="004430B8">
        <w:t>1</w:t>
      </w:r>
    </w:p>
    <w:p w14:paraId="6FD18530" w14:textId="5FAEB016" w:rsidR="00A328CF" w:rsidRPr="00601B1A" w:rsidRDefault="00A328CF" w:rsidP="00B75336">
      <w:pPr>
        <w:tabs>
          <w:tab w:val="left" w:leader="dot" w:pos="9605"/>
        </w:tabs>
        <w:rPr>
          <w:rFonts w:ascii="Century Gothic" w:hAnsi="Century Gothic"/>
          <w:sz w:val="22"/>
          <w:szCs w:val="22"/>
        </w:rPr>
      </w:pPr>
      <w:r w:rsidRPr="00601B1A">
        <w:rPr>
          <w:rFonts w:ascii="Century Gothic" w:hAnsi="Century Gothic"/>
          <w:sz w:val="22"/>
          <w:szCs w:val="22"/>
        </w:rPr>
        <w:t xml:space="preserve">       </w:t>
      </w:r>
      <w:r w:rsidR="00B5048D" w:rsidRPr="009A1167">
        <w:rPr>
          <w:szCs w:val="24"/>
        </w:rPr>
        <w:t>11.6</w:t>
      </w:r>
      <w:r w:rsidR="00B5048D" w:rsidRPr="00601B1A">
        <w:rPr>
          <w:rFonts w:ascii="Century Gothic" w:hAnsi="Century Gothic"/>
          <w:sz w:val="22"/>
          <w:szCs w:val="22"/>
        </w:rPr>
        <w:t xml:space="preserve"> </w:t>
      </w:r>
      <w:hyperlink w:anchor="WebsiteDesign" w:history="1">
        <w:r w:rsidRPr="00601B1A">
          <w:rPr>
            <w:rStyle w:val="Hyperlink"/>
            <w:rFonts w:ascii="Century Gothic" w:hAnsi="Century Gothic"/>
            <w:sz w:val="22"/>
            <w:szCs w:val="22"/>
          </w:rPr>
          <w:t>Website Development and Content Cost</w:t>
        </w:r>
      </w:hyperlink>
      <w:r w:rsidR="00B73652" w:rsidRPr="00601B1A">
        <w:rPr>
          <w:rFonts w:ascii="Century Gothic" w:hAnsi="Century Gothic"/>
          <w:sz w:val="22"/>
          <w:szCs w:val="22"/>
        </w:rPr>
        <w:t>s</w:t>
      </w:r>
      <w:r w:rsidR="002D451B">
        <w:rPr>
          <w:rFonts w:ascii="Century Gothic" w:hAnsi="Century Gothic"/>
          <w:sz w:val="22"/>
          <w:szCs w:val="22"/>
        </w:rPr>
        <w:tab/>
      </w:r>
      <w:r w:rsidR="00B75336">
        <w:rPr>
          <w:rFonts w:ascii="Century Gothic" w:hAnsi="Century Gothic"/>
          <w:sz w:val="22"/>
          <w:szCs w:val="22"/>
        </w:rPr>
        <w:t>21</w:t>
      </w:r>
    </w:p>
    <w:p w14:paraId="7A53DC60" w14:textId="3F4F8AA7" w:rsidR="00DF7DFD" w:rsidRPr="00601B1A" w:rsidRDefault="00F62BB8" w:rsidP="00055752">
      <w:pPr>
        <w:pStyle w:val="TOC1"/>
      </w:pPr>
      <w:r w:rsidRPr="00601B1A">
        <w:t xml:space="preserve">       11.</w:t>
      </w:r>
      <w:r w:rsidR="00A328CF" w:rsidRPr="00601B1A">
        <w:t>7</w:t>
      </w:r>
      <w:r w:rsidRPr="00601B1A">
        <w:t xml:space="preserve">  </w:t>
      </w:r>
      <w:hyperlink w:anchor="DisposalSale" w:history="1">
        <w:r w:rsidRPr="00601B1A">
          <w:rPr>
            <w:rStyle w:val="Hyperlink"/>
            <w:rFonts w:ascii="Century Gothic" w:hAnsi="Century Gothic"/>
            <w:sz w:val="22"/>
            <w:szCs w:val="22"/>
          </w:rPr>
          <w:t>Disposals and Sales</w:t>
        </w:r>
      </w:hyperlink>
      <w:r w:rsidRPr="00601B1A">
        <w:tab/>
      </w:r>
      <w:r w:rsidR="001E0408" w:rsidRPr="00601B1A">
        <w:t>2</w:t>
      </w:r>
      <w:r w:rsidR="002D451B">
        <w:t>2</w:t>
      </w:r>
    </w:p>
    <w:p w14:paraId="7E3A4EC6" w14:textId="7AC00F2C" w:rsidR="00DF7DFD" w:rsidRPr="00601B1A" w:rsidRDefault="00F62BB8" w:rsidP="00055752">
      <w:pPr>
        <w:pStyle w:val="TOC1"/>
      </w:pPr>
      <w:r w:rsidRPr="00601B1A">
        <w:t xml:space="preserve">       11.</w:t>
      </w:r>
      <w:r w:rsidR="00A328CF" w:rsidRPr="00601B1A">
        <w:t>8</w:t>
      </w:r>
      <w:r w:rsidRPr="00601B1A">
        <w:t xml:space="preserve">  </w:t>
      </w:r>
      <w:hyperlink w:anchor="FATransfer" w:history="1">
        <w:r w:rsidRPr="00601B1A">
          <w:rPr>
            <w:rStyle w:val="Hyperlink"/>
            <w:rFonts w:ascii="Century Gothic" w:hAnsi="Century Gothic"/>
            <w:sz w:val="22"/>
            <w:szCs w:val="22"/>
          </w:rPr>
          <w:t>Transfer of Assets</w:t>
        </w:r>
      </w:hyperlink>
      <w:r w:rsidRPr="00601B1A">
        <w:tab/>
      </w:r>
      <w:r w:rsidR="00504504" w:rsidRPr="00601B1A">
        <w:t>2</w:t>
      </w:r>
      <w:r w:rsidR="002D451B">
        <w:t>2</w:t>
      </w:r>
    </w:p>
    <w:p w14:paraId="1DED0488" w14:textId="35D7CB3D" w:rsidR="00DF7DFD" w:rsidRPr="00601B1A" w:rsidRDefault="00F62BB8" w:rsidP="00055752">
      <w:pPr>
        <w:pStyle w:val="TOC1"/>
      </w:pPr>
      <w:r w:rsidRPr="00601B1A">
        <w:t xml:space="preserve">       11.</w:t>
      </w:r>
      <w:r w:rsidR="00A328CF" w:rsidRPr="00601B1A">
        <w:t>9</w:t>
      </w:r>
      <w:r w:rsidRPr="00601B1A">
        <w:t xml:space="preserve">  </w:t>
      </w:r>
      <w:hyperlink w:anchor="FinPhyCtrl" w:history="1">
        <w:r w:rsidRPr="00601B1A">
          <w:rPr>
            <w:rStyle w:val="Hyperlink"/>
            <w:rFonts w:ascii="Century Gothic" w:hAnsi="Century Gothic"/>
            <w:sz w:val="22"/>
            <w:szCs w:val="22"/>
          </w:rPr>
          <w:t>Financial and Physical Control</w:t>
        </w:r>
      </w:hyperlink>
      <w:r w:rsidRPr="00601B1A">
        <w:tab/>
      </w:r>
      <w:r w:rsidR="00504504" w:rsidRPr="00601B1A">
        <w:t>2</w:t>
      </w:r>
      <w:r w:rsidR="002D451B">
        <w:t>2</w:t>
      </w:r>
    </w:p>
    <w:p w14:paraId="15AC2110" w14:textId="40426F3C" w:rsidR="00504504" w:rsidRPr="00601B1A" w:rsidRDefault="00504504" w:rsidP="00504504">
      <w:pPr>
        <w:tabs>
          <w:tab w:val="right" w:leader="dot" w:pos="9605"/>
        </w:tabs>
        <w:ind w:left="360"/>
        <w:rPr>
          <w:rFonts w:ascii="Century Gothic" w:hAnsi="Century Gothic"/>
          <w:sz w:val="22"/>
          <w:szCs w:val="22"/>
        </w:rPr>
      </w:pPr>
      <w:r w:rsidRPr="00601B1A">
        <w:rPr>
          <w:rFonts w:ascii="Century Gothic" w:hAnsi="Century Gothic"/>
          <w:sz w:val="22"/>
          <w:szCs w:val="22"/>
        </w:rPr>
        <w:t xml:space="preserve"> </w:t>
      </w:r>
      <w:r w:rsidRPr="009A1167">
        <w:rPr>
          <w:szCs w:val="24"/>
        </w:rPr>
        <w:t>11.10</w:t>
      </w:r>
      <w:r w:rsidRPr="00601B1A">
        <w:rPr>
          <w:rFonts w:ascii="Century Gothic" w:hAnsi="Century Gothic"/>
          <w:sz w:val="22"/>
          <w:szCs w:val="22"/>
        </w:rPr>
        <w:t xml:space="preserve"> </w:t>
      </w:r>
      <w:hyperlink w:anchor="_Fixed_Assets" w:history="1">
        <w:r w:rsidRPr="00601B1A">
          <w:rPr>
            <w:rStyle w:val="Hyperlink"/>
            <w:rFonts w:ascii="Century Gothic" w:hAnsi="Century Gothic"/>
            <w:sz w:val="22"/>
            <w:szCs w:val="22"/>
          </w:rPr>
          <w:t>Impairment of long-lived assets held and used</w:t>
        </w:r>
      </w:hyperlink>
      <w:r w:rsidRPr="00601B1A">
        <w:rPr>
          <w:rFonts w:ascii="Century Gothic" w:hAnsi="Century Gothic"/>
          <w:sz w:val="22"/>
          <w:szCs w:val="22"/>
        </w:rPr>
        <w:tab/>
        <w:t>2</w:t>
      </w:r>
      <w:r w:rsidR="002D451B">
        <w:rPr>
          <w:rFonts w:ascii="Century Gothic" w:hAnsi="Century Gothic"/>
          <w:sz w:val="22"/>
          <w:szCs w:val="22"/>
        </w:rPr>
        <w:t>2</w:t>
      </w:r>
    </w:p>
    <w:p w14:paraId="28D39FF6" w14:textId="017F1C5D"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12.  </w:t>
      </w:r>
      <w:hyperlink w:anchor="_Leased_Assets" w:history="1">
        <w:r w:rsidRPr="00601B1A">
          <w:rPr>
            <w:rStyle w:val="Hyperlink"/>
            <w:rFonts w:ascii="Century Gothic" w:hAnsi="Century Gothic"/>
            <w:sz w:val="22"/>
            <w:szCs w:val="22"/>
          </w:rPr>
          <w:t>Leased Assets</w:t>
        </w:r>
      </w:hyperlink>
      <w:r w:rsidRPr="00601B1A">
        <w:rPr>
          <w:rFonts w:ascii="Century Gothic" w:hAnsi="Century Gothic"/>
          <w:sz w:val="22"/>
          <w:szCs w:val="22"/>
        </w:rPr>
        <w:tab/>
      </w:r>
      <w:r w:rsidR="001E0408" w:rsidRPr="00601B1A">
        <w:rPr>
          <w:rFonts w:ascii="Century Gothic" w:hAnsi="Century Gothic"/>
          <w:sz w:val="22"/>
          <w:szCs w:val="22"/>
        </w:rPr>
        <w:t>2</w:t>
      </w:r>
      <w:r w:rsidR="002D451B">
        <w:rPr>
          <w:rFonts w:ascii="Century Gothic" w:hAnsi="Century Gothic"/>
          <w:sz w:val="22"/>
          <w:szCs w:val="22"/>
        </w:rPr>
        <w:t>3</w:t>
      </w:r>
    </w:p>
    <w:p w14:paraId="59AC6FF1" w14:textId="51BF5FE2"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13.  </w:t>
      </w:r>
      <w:hyperlink w:anchor="_Goodwill" w:history="1">
        <w:r w:rsidRPr="00601B1A">
          <w:rPr>
            <w:rStyle w:val="Hyperlink"/>
            <w:rFonts w:ascii="Century Gothic" w:hAnsi="Century Gothic"/>
            <w:sz w:val="22"/>
            <w:szCs w:val="22"/>
          </w:rPr>
          <w:t>Goodwill</w:t>
        </w:r>
      </w:hyperlink>
      <w:r w:rsidRPr="00601B1A">
        <w:rPr>
          <w:rFonts w:ascii="Century Gothic" w:hAnsi="Century Gothic"/>
          <w:sz w:val="22"/>
          <w:szCs w:val="22"/>
        </w:rPr>
        <w:tab/>
      </w:r>
      <w:r w:rsidR="009E477C" w:rsidRPr="00601B1A">
        <w:rPr>
          <w:rFonts w:ascii="Century Gothic" w:hAnsi="Century Gothic"/>
          <w:sz w:val="22"/>
          <w:szCs w:val="22"/>
        </w:rPr>
        <w:t>2</w:t>
      </w:r>
      <w:r w:rsidR="00CF3B25">
        <w:rPr>
          <w:rFonts w:ascii="Century Gothic" w:hAnsi="Century Gothic"/>
          <w:sz w:val="22"/>
          <w:szCs w:val="22"/>
        </w:rPr>
        <w:t>4</w:t>
      </w:r>
    </w:p>
    <w:p w14:paraId="474F46A5" w14:textId="421B55D0" w:rsidR="00DF7DFD" w:rsidRPr="00601B1A" w:rsidRDefault="00F62BB8" w:rsidP="00055752">
      <w:pPr>
        <w:pStyle w:val="TOC1"/>
      </w:pPr>
      <w:r w:rsidRPr="00601B1A">
        <w:t xml:space="preserve">14.  </w:t>
      </w:r>
      <w:hyperlink w:anchor="_Intangible_Assets,_other" w:history="1">
        <w:r w:rsidRPr="00601B1A">
          <w:rPr>
            <w:rStyle w:val="Hyperlink"/>
            <w:rFonts w:ascii="Century Gothic" w:hAnsi="Century Gothic"/>
            <w:sz w:val="22"/>
            <w:szCs w:val="22"/>
          </w:rPr>
          <w:t>Intangible Assets, other than Goodwill</w:t>
        </w:r>
      </w:hyperlink>
      <w:r w:rsidRPr="00601B1A">
        <w:tab/>
      </w:r>
      <w:r w:rsidR="001E0408" w:rsidRPr="00601B1A">
        <w:t>2</w:t>
      </w:r>
      <w:r w:rsidR="00CF3B25">
        <w:t>4</w:t>
      </w:r>
    </w:p>
    <w:p w14:paraId="4755F677" w14:textId="02DDF14B"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15.  </w:t>
      </w:r>
      <w:hyperlink w:anchor="_Equity_Investments" w:history="1">
        <w:r w:rsidRPr="00601B1A">
          <w:rPr>
            <w:rStyle w:val="Hyperlink"/>
            <w:rFonts w:ascii="Century Gothic" w:hAnsi="Century Gothic"/>
            <w:sz w:val="22"/>
            <w:szCs w:val="22"/>
          </w:rPr>
          <w:t>Equity Investments</w:t>
        </w:r>
      </w:hyperlink>
      <w:r w:rsidRPr="00601B1A">
        <w:rPr>
          <w:rFonts w:ascii="Century Gothic" w:hAnsi="Century Gothic"/>
          <w:sz w:val="22"/>
          <w:szCs w:val="22"/>
        </w:rPr>
        <w:tab/>
      </w:r>
      <w:r w:rsidR="009E477C" w:rsidRPr="00601B1A">
        <w:rPr>
          <w:rFonts w:ascii="Century Gothic" w:hAnsi="Century Gothic"/>
          <w:sz w:val="22"/>
          <w:szCs w:val="22"/>
        </w:rPr>
        <w:t>2</w:t>
      </w:r>
      <w:r w:rsidR="00CF3B25">
        <w:rPr>
          <w:rFonts w:ascii="Century Gothic" w:hAnsi="Century Gothic"/>
          <w:sz w:val="22"/>
          <w:szCs w:val="22"/>
        </w:rPr>
        <w:t>5</w:t>
      </w:r>
    </w:p>
    <w:p w14:paraId="47DD1ADB" w14:textId="6998E02A"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16.  </w:t>
      </w:r>
      <w:hyperlink w:anchor="_Accounts_Payable" w:history="1">
        <w:r w:rsidRPr="00601B1A">
          <w:rPr>
            <w:rStyle w:val="Hyperlink"/>
            <w:rFonts w:ascii="Century Gothic" w:hAnsi="Century Gothic"/>
            <w:sz w:val="22"/>
            <w:szCs w:val="22"/>
          </w:rPr>
          <w:t>Accounts Payable</w:t>
        </w:r>
      </w:hyperlink>
      <w:r w:rsidRPr="00601B1A">
        <w:rPr>
          <w:rFonts w:ascii="Century Gothic" w:hAnsi="Century Gothic"/>
          <w:sz w:val="22"/>
          <w:szCs w:val="22"/>
        </w:rPr>
        <w:tab/>
      </w:r>
      <w:r w:rsidR="001E0408" w:rsidRPr="00601B1A">
        <w:rPr>
          <w:rFonts w:ascii="Century Gothic" w:hAnsi="Century Gothic"/>
          <w:sz w:val="22"/>
          <w:szCs w:val="22"/>
        </w:rPr>
        <w:t>2</w:t>
      </w:r>
      <w:r w:rsidR="00CF3B25">
        <w:rPr>
          <w:rFonts w:ascii="Century Gothic" w:hAnsi="Century Gothic"/>
          <w:sz w:val="22"/>
          <w:szCs w:val="22"/>
        </w:rPr>
        <w:t>5</w:t>
      </w:r>
    </w:p>
    <w:p w14:paraId="085C256B" w14:textId="3379ED40"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17.  </w:t>
      </w:r>
      <w:hyperlink w:anchor="_Accrued_Expenses" w:history="1">
        <w:r w:rsidRPr="00601B1A">
          <w:rPr>
            <w:rStyle w:val="Hyperlink"/>
            <w:rFonts w:ascii="Century Gothic" w:hAnsi="Century Gothic"/>
            <w:sz w:val="22"/>
            <w:szCs w:val="22"/>
          </w:rPr>
          <w:t>Accrued Expenses</w:t>
        </w:r>
      </w:hyperlink>
      <w:r w:rsidRPr="00601B1A">
        <w:rPr>
          <w:rFonts w:ascii="Century Gothic" w:hAnsi="Century Gothic"/>
          <w:sz w:val="22"/>
          <w:szCs w:val="22"/>
        </w:rPr>
        <w:tab/>
      </w:r>
      <w:r w:rsidR="001E0408" w:rsidRPr="00601B1A">
        <w:rPr>
          <w:rFonts w:ascii="Century Gothic" w:hAnsi="Century Gothic"/>
          <w:sz w:val="22"/>
          <w:szCs w:val="22"/>
        </w:rPr>
        <w:t>2</w:t>
      </w:r>
      <w:r w:rsidR="00CF3B25">
        <w:rPr>
          <w:rFonts w:ascii="Century Gothic" w:hAnsi="Century Gothic"/>
          <w:sz w:val="22"/>
          <w:szCs w:val="22"/>
        </w:rPr>
        <w:t>6</w:t>
      </w:r>
    </w:p>
    <w:p w14:paraId="521435E3" w14:textId="05198F6A" w:rsidR="00DF7DFD" w:rsidRPr="00601B1A" w:rsidRDefault="00F62BB8" w:rsidP="00055752">
      <w:pPr>
        <w:pStyle w:val="TOC1"/>
      </w:pPr>
      <w:r w:rsidRPr="00601B1A">
        <w:t xml:space="preserve">18.  </w:t>
      </w:r>
      <w:hyperlink w:anchor="_Debt_Modification_and" w:history="1">
        <w:r w:rsidRPr="00601B1A">
          <w:rPr>
            <w:rStyle w:val="Hyperlink"/>
            <w:rFonts w:ascii="Century Gothic" w:hAnsi="Century Gothic"/>
            <w:sz w:val="22"/>
            <w:szCs w:val="22"/>
          </w:rPr>
          <w:t>Debt Modification and Extinguishment</w:t>
        </w:r>
      </w:hyperlink>
      <w:r w:rsidRPr="00601B1A">
        <w:tab/>
      </w:r>
      <w:r w:rsidR="009E477C" w:rsidRPr="00601B1A">
        <w:t>2</w:t>
      </w:r>
      <w:r w:rsidR="00CF3B25">
        <w:t>7</w:t>
      </w:r>
    </w:p>
    <w:p w14:paraId="6C643242" w14:textId="456DA52A" w:rsidR="00DF7DFD" w:rsidRPr="00601B1A" w:rsidRDefault="00F62BB8" w:rsidP="00055752">
      <w:pPr>
        <w:pStyle w:val="TOC1"/>
      </w:pPr>
      <w:r w:rsidRPr="00601B1A">
        <w:t xml:space="preserve">       18.1  </w:t>
      </w:r>
      <w:hyperlink w:anchor="_Debt_Modification_and" w:history="1">
        <w:r w:rsidRPr="00601B1A">
          <w:rPr>
            <w:rStyle w:val="Hyperlink"/>
            <w:rFonts w:ascii="Century Gothic" w:hAnsi="Century Gothic"/>
            <w:sz w:val="22"/>
            <w:szCs w:val="22"/>
          </w:rPr>
          <w:t>Term Loan Modification or Extinguishment</w:t>
        </w:r>
      </w:hyperlink>
      <w:r w:rsidRPr="00601B1A">
        <w:tab/>
      </w:r>
      <w:r w:rsidR="009E477C" w:rsidRPr="00601B1A">
        <w:t>2</w:t>
      </w:r>
      <w:r w:rsidR="00CF3B25">
        <w:t>7</w:t>
      </w:r>
    </w:p>
    <w:p w14:paraId="5AE90449" w14:textId="59760E3C" w:rsidR="00DF7DFD" w:rsidRPr="00601B1A" w:rsidRDefault="00F62BB8" w:rsidP="00055752">
      <w:pPr>
        <w:pStyle w:val="TOC1"/>
      </w:pPr>
      <w:r w:rsidRPr="00601B1A">
        <w:t xml:space="preserve">       18.2  </w:t>
      </w:r>
      <w:hyperlink w:anchor="RevolvingDebt" w:history="1">
        <w:r w:rsidRPr="00601B1A">
          <w:rPr>
            <w:rStyle w:val="Hyperlink"/>
            <w:rFonts w:ascii="Century Gothic" w:hAnsi="Century Gothic"/>
            <w:sz w:val="22"/>
            <w:szCs w:val="22"/>
          </w:rPr>
          <w:t>Revolving-debt Modification or Extinguishment</w:t>
        </w:r>
      </w:hyperlink>
      <w:r w:rsidRPr="00601B1A">
        <w:tab/>
      </w:r>
      <w:r w:rsidR="001E0408" w:rsidRPr="00601B1A">
        <w:t>2</w:t>
      </w:r>
      <w:r w:rsidR="00CF3B25">
        <w:t>7</w:t>
      </w:r>
    </w:p>
    <w:p w14:paraId="38565D88" w14:textId="0B3B72E7" w:rsidR="00DF7DFD" w:rsidRPr="00601B1A" w:rsidRDefault="00F62BB8" w:rsidP="00055752">
      <w:pPr>
        <w:pStyle w:val="TOC1"/>
      </w:pPr>
      <w:r w:rsidRPr="00601B1A">
        <w:t xml:space="preserve">       18.3  </w:t>
      </w:r>
      <w:hyperlink w:anchor="FinCostDebt" w:history="1">
        <w:r w:rsidRPr="00601B1A">
          <w:rPr>
            <w:rStyle w:val="Hyperlink"/>
            <w:rFonts w:ascii="Century Gothic" w:hAnsi="Century Gothic"/>
            <w:sz w:val="22"/>
            <w:szCs w:val="22"/>
          </w:rPr>
          <w:t>Financing Costs - Presentation</w:t>
        </w:r>
      </w:hyperlink>
      <w:r w:rsidRPr="00601B1A">
        <w:tab/>
      </w:r>
      <w:r w:rsidR="009E477C" w:rsidRPr="00601B1A">
        <w:t>2</w:t>
      </w:r>
      <w:r w:rsidR="00CF3B25">
        <w:t>8</w:t>
      </w:r>
    </w:p>
    <w:p w14:paraId="644EEB4B" w14:textId="45AFD1C6" w:rsidR="00DF7DFD" w:rsidRPr="00601B1A" w:rsidRDefault="00F62BB8" w:rsidP="00055752">
      <w:pPr>
        <w:pStyle w:val="TOC1"/>
      </w:pPr>
      <w:r w:rsidRPr="00601B1A">
        <w:t xml:space="preserve">19.  </w:t>
      </w:r>
      <w:hyperlink w:anchor="_Loss_Contingencies" w:history="1">
        <w:r w:rsidR="00DF0A5A" w:rsidRPr="00601B1A">
          <w:rPr>
            <w:rStyle w:val="Hyperlink"/>
            <w:rFonts w:ascii="Century Gothic" w:hAnsi="Century Gothic"/>
            <w:sz w:val="22"/>
            <w:szCs w:val="22"/>
          </w:rPr>
          <w:t xml:space="preserve">Commitments and </w:t>
        </w:r>
        <w:r w:rsidRPr="00601B1A">
          <w:rPr>
            <w:rStyle w:val="Hyperlink"/>
            <w:rFonts w:ascii="Century Gothic" w:hAnsi="Century Gothic"/>
            <w:sz w:val="22"/>
            <w:szCs w:val="22"/>
          </w:rPr>
          <w:t>Contingencies</w:t>
        </w:r>
      </w:hyperlink>
      <w:r w:rsidRPr="00601B1A">
        <w:tab/>
      </w:r>
      <w:r w:rsidR="009E477C" w:rsidRPr="00601B1A">
        <w:t>2</w:t>
      </w:r>
      <w:r w:rsidR="00CF3B25">
        <w:t>8</w:t>
      </w:r>
    </w:p>
    <w:p w14:paraId="42A581A0" w14:textId="3EE07F27"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20.  </w:t>
      </w:r>
      <w:hyperlink w:anchor="_Fair_Value" w:history="1">
        <w:r w:rsidRPr="00601B1A">
          <w:rPr>
            <w:rStyle w:val="Hyperlink"/>
            <w:rFonts w:ascii="Century Gothic" w:hAnsi="Century Gothic"/>
            <w:sz w:val="22"/>
            <w:szCs w:val="22"/>
          </w:rPr>
          <w:t>Fair Value</w:t>
        </w:r>
      </w:hyperlink>
      <w:r w:rsidRPr="00601B1A">
        <w:rPr>
          <w:rFonts w:ascii="Century Gothic" w:hAnsi="Century Gothic"/>
          <w:sz w:val="22"/>
          <w:szCs w:val="22"/>
        </w:rPr>
        <w:tab/>
      </w:r>
      <w:r w:rsidR="001B0D30">
        <w:rPr>
          <w:rFonts w:ascii="Century Gothic" w:hAnsi="Century Gothic"/>
          <w:sz w:val="22"/>
          <w:szCs w:val="22"/>
        </w:rPr>
        <w:t>30</w:t>
      </w:r>
    </w:p>
    <w:p w14:paraId="1961AD72" w14:textId="13C92539"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21.  </w:t>
      </w:r>
      <w:hyperlink w:anchor="_Revenue" w:history="1">
        <w:r w:rsidRPr="00601B1A">
          <w:rPr>
            <w:rStyle w:val="Hyperlink"/>
            <w:rFonts w:ascii="Century Gothic" w:hAnsi="Century Gothic"/>
            <w:sz w:val="22"/>
            <w:szCs w:val="22"/>
          </w:rPr>
          <w:t>Revenue</w:t>
        </w:r>
      </w:hyperlink>
      <w:r w:rsidRPr="00601B1A">
        <w:rPr>
          <w:rFonts w:ascii="Century Gothic" w:hAnsi="Century Gothic"/>
          <w:sz w:val="22"/>
          <w:szCs w:val="22"/>
        </w:rPr>
        <w:tab/>
      </w:r>
      <w:r w:rsidR="00504504" w:rsidRPr="00601B1A">
        <w:rPr>
          <w:rFonts w:ascii="Century Gothic" w:hAnsi="Century Gothic"/>
          <w:sz w:val="22"/>
          <w:szCs w:val="22"/>
        </w:rPr>
        <w:t>3</w:t>
      </w:r>
      <w:r w:rsidR="001B0D30">
        <w:rPr>
          <w:rFonts w:ascii="Century Gothic" w:hAnsi="Century Gothic"/>
          <w:sz w:val="22"/>
          <w:szCs w:val="22"/>
        </w:rPr>
        <w:t>1</w:t>
      </w:r>
      <w:r w:rsidRPr="00601B1A">
        <w:rPr>
          <w:rFonts w:ascii="Century Gothic" w:hAnsi="Century Gothic"/>
          <w:sz w:val="22"/>
          <w:szCs w:val="22"/>
        </w:rPr>
        <w:t xml:space="preserve">      </w:t>
      </w:r>
    </w:p>
    <w:p w14:paraId="5347B4FF" w14:textId="3C38DB84"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22.  </w:t>
      </w:r>
      <w:hyperlink w:anchor="_Cost_of_Sales" w:history="1">
        <w:r w:rsidRPr="00601B1A">
          <w:rPr>
            <w:rStyle w:val="Hyperlink"/>
            <w:rFonts w:ascii="Century Gothic" w:hAnsi="Century Gothic"/>
            <w:sz w:val="22"/>
            <w:szCs w:val="22"/>
          </w:rPr>
          <w:t>Cost of Sales</w:t>
        </w:r>
      </w:hyperlink>
      <w:r w:rsidRPr="00601B1A">
        <w:rPr>
          <w:rFonts w:ascii="Century Gothic" w:hAnsi="Century Gothic"/>
          <w:sz w:val="22"/>
          <w:szCs w:val="22"/>
        </w:rPr>
        <w:tab/>
      </w:r>
      <w:r w:rsidR="00504504" w:rsidRPr="00601B1A">
        <w:rPr>
          <w:rFonts w:ascii="Century Gothic" w:hAnsi="Century Gothic"/>
          <w:sz w:val="22"/>
          <w:szCs w:val="22"/>
        </w:rPr>
        <w:t>3</w:t>
      </w:r>
      <w:r w:rsidR="001B0D30">
        <w:rPr>
          <w:rFonts w:ascii="Century Gothic" w:hAnsi="Century Gothic"/>
          <w:sz w:val="22"/>
          <w:szCs w:val="22"/>
        </w:rPr>
        <w:t>1</w:t>
      </w:r>
    </w:p>
    <w:p w14:paraId="00F77887" w14:textId="73E2DD10"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       </w:t>
      </w:r>
      <w:r w:rsidRPr="009A1167">
        <w:rPr>
          <w:szCs w:val="24"/>
        </w:rPr>
        <w:t>22.1</w:t>
      </w:r>
      <w:r w:rsidRPr="00601B1A">
        <w:rPr>
          <w:rFonts w:ascii="Century Gothic" w:hAnsi="Century Gothic"/>
          <w:sz w:val="22"/>
          <w:szCs w:val="22"/>
        </w:rPr>
        <w:t xml:space="preserve">  </w:t>
      </w:r>
      <w:hyperlink w:anchor="_Cost_of_Sales" w:history="1">
        <w:r w:rsidRPr="00601B1A">
          <w:rPr>
            <w:rStyle w:val="Hyperlink"/>
            <w:rFonts w:ascii="Century Gothic" w:hAnsi="Century Gothic"/>
            <w:sz w:val="22"/>
            <w:szCs w:val="22"/>
          </w:rPr>
          <w:t>General</w:t>
        </w:r>
      </w:hyperlink>
      <w:r w:rsidRPr="00601B1A">
        <w:rPr>
          <w:rFonts w:ascii="Century Gothic" w:hAnsi="Century Gothic"/>
          <w:sz w:val="22"/>
          <w:szCs w:val="22"/>
        </w:rPr>
        <w:tab/>
      </w:r>
      <w:r w:rsidR="00504504" w:rsidRPr="00601B1A">
        <w:rPr>
          <w:rFonts w:ascii="Century Gothic" w:hAnsi="Century Gothic"/>
          <w:sz w:val="22"/>
          <w:szCs w:val="22"/>
        </w:rPr>
        <w:t>3</w:t>
      </w:r>
      <w:r w:rsidR="001B0D30">
        <w:rPr>
          <w:rFonts w:ascii="Century Gothic" w:hAnsi="Century Gothic"/>
          <w:sz w:val="22"/>
          <w:szCs w:val="22"/>
        </w:rPr>
        <w:t>1</w:t>
      </w:r>
    </w:p>
    <w:p w14:paraId="30D77703" w14:textId="1600BEFB" w:rsidR="00DF7DFD" w:rsidRPr="00601B1A" w:rsidRDefault="00F62BB8" w:rsidP="00055752">
      <w:pPr>
        <w:pStyle w:val="TOC1"/>
      </w:pPr>
      <w:r w:rsidRPr="00601B1A">
        <w:t xml:space="preserve">       22.2  </w:t>
      </w:r>
      <w:hyperlink w:anchor="OtherCOS" w:history="1">
        <w:r w:rsidRPr="00601B1A">
          <w:rPr>
            <w:rStyle w:val="Hyperlink"/>
            <w:rFonts w:ascii="Century Gothic" w:hAnsi="Century Gothic"/>
            <w:sz w:val="22"/>
            <w:szCs w:val="22"/>
          </w:rPr>
          <w:t>Other Cost of Sales</w:t>
        </w:r>
      </w:hyperlink>
      <w:r w:rsidR="001E0408" w:rsidRPr="00601B1A">
        <w:tab/>
      </w:r>
      <w:r w:rsidR="00504504" w:rsidRPr="00601B1A">
        <w:t>3</w:t>
      </w:r>
      <w:r w:rsidR="001B0D30">
        <w:t>1</w:t>
      </w:r>
    </w:p>
    <w:p w14:paraId="54FD68C2" w14:textId="08174F5B" w:rsidR="00DF7DFD" w:rsidRPr="00601B1A" w:rsidRDefault="00F62BB8" w:rsidP="00055752">
      <w:pPr>
        <w:pStyle w:val="TOC1"/>
      </w:pPr>
      <w:r w:rsidRPr="00601B1A">
        <w:t xml:space="preserve">       22.3  </w:t>
      </w:r>
      <w:hyperlink w:anchor="RoyaltyEXP" w:history="1">
        <w:r w:rsidRPr="00601B1A">
          <w:rPr>
            <w:rStyle w:val="Hyperlink"/>
            <w:rFonts w:ascii="Century Gothic" w:hAnsi="Century Gothic"/>
            <w:sz w:val="22"/>
            <w:szCs w:val="22"/>
          </w:rPr>
          <w:t>Royalty Expense</w:t>
        </w:r>
      </w:hyperlink>
      <w:r w:rsidR="001E0408" w:rsidRPr="00601B1A">
        <w:tab/>
      </w:r>
      <w:r w:rsidR="00504504" w:rsidRPr="00601B1A">
        <w:t>3</w:t>
      </w:r>
      <w:r w:rsidR="002A75FA">
        <w:t>2</w:t>
      </w:r>
    </w:p>
    <w:p w14:paraId="18A8C870" w14:textId="5E3331A3" w:rsidR="00DF7DFD" w:rsidRPr="00601B1A" w:rsidRDefault="00F62BB8" w:rsidP="00055752">
      <w:pPr>
        <w:pStyle w:val="TOC1"/>
      </w:pPr>
      <w:r w:rsidRPr="00601B1A">
        <w:t xml:space="preserve">23.  </w:t>
      </w:r>
      <w:hyperlink w:anchor="_Selling,_General_and" w:history="1">
        <w:r w:rsidRPr="00601B1A">
          <w:rPr>
            <w:rStyle w:val="Hyperlink"/>
            <w:rFonts w:ascii="Century Gothic" w:hAnsi="Century Gothic"/>
            <w:sz w:val="22"/>
            <w:szCs w:val="22"/>
          </w:rPr>
          <w:t>Selling, General and Administrative Expenses</w:t>
        </w:r>
      </w:hyperlink>
      <w:r w:rsidR="001E0408" w:rsidRPr="00601B1A">
        <w:tab/>
        <w:t>3</w:t>
      </w:r>
      <w:r w:rsidR="002A75FA">
        <w:t>2</w:t>
      </w:r>
    </w:p>
    <w:p w14:paraId="1E1E2657" w14:textId="528A82D0"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       23.1  </w:t>
      </w:r>
      <w:hyperlink w:anchor="_Selling,_General_and" w:history="1">
        <w:r w:rsidRPr="00601B1A">
          <w:rPr>
            <w:rStyle w:val="Hyperlink"/>
            <w:rFonts w:ascii="Century Gothic" w:hAnsi="Century Gothic"/>
            <w:sz w:val="22"/>
            <w:szCs w:val="22"/>
          </w:rPr>
          <w:t>General</w:t>
        </w:r>
      </w:hyperlink>
      <w:r w:rsidR="00EB432C" w:rsidRPr="00601B1A">
        <w:rPr>
          <w:rFonts w:ascii="Century Gothic" w:hAnsi="Century Gothic"/>
          <w:sz w:val="22"/>
          <w:szCs w:val="22"/>
        </w:rPr>
        <w:tab/>
        <w:t>3</w:t>
      </w:r>
      <w:r w:rsidR="002A75FA">
        <w:rPr>
          <w:rFonts w:ascii="Century Gothic" w:hAnsi="Century Gothic"/>
          <w:sz w:val="22"/>
          <w:szCs w:val="22"/>
        </w:rPr>
        <w:t>2</w:t>
      </w:r>
    </w:p>
    <w:p w14:paraId="05B18D2F" w14:textId="13808DD9" w:rsidR="00DF7DFD" w:rsidRPr="00601B1A" w:rsidRDefault="00F62BB8" w:rsidP="00055752">
      <w:pPr>
        <w:pStyle w:val="TOC1"/>
      </w:pPr>
      <w:r w:rsidRPr="00601B1A">
        <w:t xml:space="preserve">       23.2  </w:t>
      </w:r>
      <w:hyperlink w:anchor="Comp" w:history="1">
        <w:r w:rsidRPr="00601B1A">
          <w:rPr>
            <w:rStyle w:val="Hyperlink"/>
            <w:rFonts w:ascii="Century Gothic" w:hAnsi="Century Gothic"/>
            <w:sz w:val="22"/>
            <w:szCs w:val="22"/>
          </w:rPr>
          <w:t>Compensation</w:t>
        </w:r>
      </w:hyperlink>
      <w:r w:rsidR="00EB432C" w:rsidRPr="00601B1A">
        <w:tab/>
        <w:t>3</w:t>
      </w:r>
      <w:r w:rsidR="002A75FA">
        <w:t>2</w:t>
      </w:r>
    </w:p>
    <w:p w14:paraId="0781F2AF" w14:textId="1ECED37D" w:rsidR="00DF7DFD" w:rsidRPr="00601B1A" w:rsidRDefault="00F62BB8" w:rsidP="00055752">
      <w:pPr>
        <w:pStyle w:val="TOC1"/>
      </w:pPr>
      <w:r w:rsidRPr="00601B1A">
        <w:t xml:space="preserve">       23.3  </w:t>
      </w:r>
      <w:hyperlink w:anchor="EmpBenefits" w:history="1">
        <w:r w:rsidRPr="00601B1A">
          <w:rPr>
            <w:rStyle w:val="Hyperlink"/>
            <w:rFonts w:ascii="Century Gothic" w:hAnsi="Century Gothic"/>
            <w:sz w:val="22"/>
            <w:szCs w:val="22"/>
          </w:rPr>
          <w:t>Employee Benefits</w:t>
        </w:r>
      </w:hyperlink>
      <w:r w:rsidR="00EB432C" w:rsidRPr="00601B1A">
        <w:tab/>
        <w:t>3</w:t>
      </w:r>
      <w:r w:rsidR="002A75FA">
        <w:t>2</w:t>
      </w:r>
    </w:p>
    <w:p w14:paraId="1F47D64E" w14:textId="73F23F44" w:rsidR="00DF7DFD" w:rsidRPr="00601B1A" w:rsidRDefault="00F62BB8" w:rsidP="00055752">
      <w:pPr>
        <w:pStyle w:val="TOC1"/>
      </w:pPr>
      <w:r w:rsidRPr="00601B1A">
        <w:t xml:space="preserve">       23.4  </w:t>
      </w:r>
      <w:hyperlink w:anchor="PostRetire" w:history="1">
        <w:r w:rsidRPr="00601B1A">
          <w:rPr>
            <w:rStyle w:val="Hyperlink"/>
            <w:rFonts w:ascii="Century Gothic" w:hAnsi="Century Gothic"/>
            <w:sz w:val="22"/>
            <w:szCs w:val="22"/>
          </w:rPr>
          <w:t>Post Retirement Benefits</w:t>
        </w:r>
      </w:hyperlink>
      <w:r w:rsidR="00EB432C" w:rsidRPr="00601B1A">
        <w:tab/>
        <w:t>3</w:t>
      </w:r>
      <w:r w:rsidR="002A75FA">
        <w:t>2</w:t>
      </w:r>
    </w:p>
    <w:p w14:paraId="21F520B1" w14:textId="44111872" w:rsidR="00DF7DFD" w:rsidRPr="00601B1A" w:rsidRDefault="00F62BB8" w:rsidP="00055752">
      <w:pPr>
        <w:pStyle w:val="TOC1"/>
      </w:pPr>
      <w:r w:rsidRPr="00601B1A">
        <w:t xml:space="preserve">       23.5  </w:t>
      </w:r>
      <w:hyperlink w:anchor="EquityComp" w:history="1">
        <w:r w:rsidRPr="00601B1A">
          <w:rPr>
            <w:rStyle w:val="Hyperlink"/>
            <w:rFonts w:ascii="Century Gothic" w:hAnsi="Century Gothic"/>
            <w:sz w:val="22"/>
            <w:szCs w:val="22"/>
          </w:rPr>
          <w:t>Equity</w:t>
        </w:r>
        <w:r w:rsidR="0060593C" w:rsidRPr="00601B1A">
          <w:rPr>
            <w:rStyle w:val="Hyperlink"/>
            <w:rFonts w:ascii="Century Gothic" w:hAnsi="Century Gothic"/>
            <w:sz w:val="22"/>
            <w:szCs w:val="22"/>
          </w:rPr>
          <w:t>-</w:t>
        </w:r>
        <w:r w:rsidR="003D3AF0" w:rsidRPr="00601B1A">
          <w:rPr>
            <w:rStyle w:val="Hyperlink"/>
            <w:rFonts w:ascii="Century Gothic" w:hAnsi="Century Gothic"/>
            <w:sz w:val="22"/>
            <w:szCs w:val="22"/>
          </w:rPr>
          <w:t>B</w:t>
        </w:r>
        <w:r w:rsidR="0060593C" w:rsidRPr="00601B1A">
          <w:rPr>
            <w:rStyle w:val="Hyperlink"/>
            <w:rFonts w:ascii="Century Gothic" w:hAnsi="Century Gothic"/>
            <w:sz w:val="22"/>
            <w:szCs w:val="22"/>
          </w:rPr>
          <w:t>ased</w:t>
        </w:r>
        <w:r w:rsidRPr="00601B1A">
          <w:rPr>
            <w:rStyle w:val="Hyperlink"/>
            <w:rFonts w:ascii="Century Gothic" w:hAnsi="Century Gothic"/>
            <w:sz w:val="22"/>
            <w:szCs w:val="22"/>
          </w:rPr>
          <w:t xml:space="preserve"> Compensation</w:t>
        </w:r>
      </w:hyperlink>
      <w:r w:rsidR="00EB432C" w:rsidRPr="00601B1A">
        <w:tab/>
        <w:t>3</w:t>
      </w:r>
      <w:r w:rsidR="00687A04">
        <w:t>3</w:t>
      </w:r>
    </w:p>
    <w:p w14:paraId="53F3DC2C" w14:textId="5E40DE09" w:rsidR="00DF7DFD" w:rsidRPr="00601B1A" w:rsidRDefault="00F62BB8" w:rsidP="00055752">
      <w:pPr>
        <w:pStyle w:val="TOC1"/>
      </w:pPr>
      <w:r w:rsidRPr="00601B1A">
        <w:t xml:space="preserve">       23.6  </w:t>
      </w:r>
      <w:hyperlink w:anchor="RentEXP" w:history="1">
        <w:r w:rsidRPr="00601B1A">
          <w:rPr>
            <w:rStyle w:val="Hyperlink"/>
            <w:rFonts w:ascii="Century Gothic" w:hAnsi="Century Gothic"/>
            <w:sz w:val="22"/>
            <w:szCs w:val="22"/>
          </w:rPr>
          <w:t>Rent Expense</w:t>
        </w:r>
      </w:hyperlink>
      <w:r w:rsidRPr="00601B1A">
        <w:tab/>
      </w:r>
      <w:r w:rsidR="00EB432C" w:rsidRPr="00601B1A">
        <w:t>3</w:t>
      </w:r>
      <w:r w:rsidR="00687A04">
        <w:t>4</w:t>
      </w:r>
    </w:p>
    <w:p w14:paraId="4D5274D3" w14:textId="123831FE" w:rsidR="00DF7DFD" w:rsidRPr="00601B1A" w:rsidRDefault="00F62BB8" w:rsidP="00055752">
      <w:pPr>
        <w:pStyle w:val="TOC1"/>
      </w:pPr>
      <w:r w:rsidRPr="00601B1A">
        <w:t xml:space="preserve">       23.7  </w:t>
      </w:r>
      <w:hyperlink w:anchor="OperTaxes" w:history="1">
        <w:r w:rsidRPr="00601B1A">
          <w:rPr>
            <w:rStyle w:val="Hyperlink"/>
            <w:rFonts w:ascii="Century Gothic" w:hAnsi="Century Gothic"/>
            <w:sz w:val="22"/>
            <w:szCs w:val="22"/>
          </w:rPr>
          <w:t>Operating Taxes</w:t>
        </w:r>
      </w:hyperlink>
      <w:r w:rsidRPr="00601B1A">
        <w:tab/>
      </w:r>
      <w:r w:rsidR="00F43A5B" w:rsidRPr="00601B1A">
        <w:t>3</w:t>
      </w:r>
      <w:r w:rsidR="00687A04">
        <w:t>4</w:t>
      </w:r>
    </w:p>
    <w:p w14:paraId="6F58B19E" w14:textId="608CD3C3" w:rsidR="00DF7DFD" w:rsidRPr="00601B1A" w:rsidRDefault="00F62BB8" w:rsidP="00055752">
      <w:pPr>
        <w:pStyle w:val="TOC1"/>
      </w:pPr>
      <w:r w:rsidRPr="00601B1A">
        <w:t xml:space="preserve">       23.8  </w:t>
      </w:r>
      <w:hyperlink w:anchor="Advertising" w:history="1">
        <w:r w:rsidRPr="00601B1A">
          <w:rPr>
            <w:rStyle w:val="Hyperlink"/>
            <w:rFonts w:ascii="Century Gothic" w:hAnsi="Century Gothic"/>
            <w:sz w:val="22"/>
            <w:szCs w:val="22"/>
          </w:rPr>
          <w:t>Advertising Costs</w:t>
        </w:r>
      </w:hyperlink>
      <w:r w:rsidRPr="00601B1A">
        <w:tab/>
      </w:r>
      <w:r w:rsidR="00F43A5B" w:rsidRPr="00601B1A">
        <w:t>3</w:t>
      </w:r>
      <w:r w:rsidR="00687A04">
        <w:t>4</w:t>
      </w:r>
    </w:p>
    <w:p w14:paraId="38A2FAFA" w14:textId="6F3FAE2B"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24.  </w:t>
      </w:r>
      <w:hyperlink w:anchor="_Research_and_Development" w:history="1">
        <w:r w:rsidRPr="00601B1A">
          <w:rPr>
            <w:rStyle w:val="Hyperlink"/>
            <w:rFonts w:ascii="Century Gothic" w:hAnsi="Century Gothic"/>
            <w:sz w:val="22"/>
            <w:szCs w:val="22"/>
          </w:rPr>
          <w:t>Research and Development</w:t>
        </w:r>
      </w:hyperlink>
      <w:r w:rsidRPr="00601B1A">
        <w:rPr>
          <w:rFonts w:ascii="Century Gothic" w:hAnsi="Century Gothic"/>
          <w:sz w:val="22"/>
          <w:szCs w:val="22"/>
        </w:rPr>
        <w:tab/>
      </w:r>
      <w:r w:rsidR="00F43A5B" w:rsidRPr="00601B1A">
        <w:rPr>
          <w:rFonts w:ascii="Century Gothic" w:hAnsi="Century Gothic"/>
          <w:sz w:val="22"/>
          <w:szCs w:val="22"/>
        </w:rPr>
        <w:t>3</w:t>
      </w:r>
      <w:r w:rsidR="00687A04">
        <w:rPr>
          <w:rFonts w:ascii="Century Gothic" w:hAnsi="Century Gothic"/>
          <w:sz w:val="22"/>
          <w:szCs w:val="22"/>
        </w:rPr>
        <w:t>4</w:t>
      </w:r>
    </w:p>
    <w:p w14:paraId="5F8316F8" w14:textId="00A0B09D" w:rsidR="00DF7DFD" w:rsidRPr="00601B1A" w:rsidRDefault="00F62BB8" w:rsidP="00055752">
      <w:pPr>
        <w:pStyle w:val="TOC1"/>
      </w:pPr>
      <w:r w:rsidRPr="00601B1A">
        <w:t xml:space="preserve">25.  </w:t>
      </w:r>
      <w:hyperlink w:anchor="_Business_Combinations" w:history="1">
        <w:r w:rsidRPr="00601B1A">
          <w:rPr>
            <w:rStyle w:val="Hyperlink"/>
            <w:rFonts w:ascii="Century Gothic" w:hAnsi="Century Gothic"/>
            <w:sz w:val="22"/>
            <w:szCs w:val="22"/>
          </w:rPr>
          <w:t>Business Combinations</w:t>
        </w:r>
        <w:r w:rsidR="0081207B" w:rsidRPr="00601B1A">
          <w:rPr>
            <w:rStyle w:val="Hyperlink"/>
            <w:rFonts w:ascii="Century Gothic" w:hAnsi="Century Gothic"/>
            <w:sz w:val="22"/>
            <w:szCs w:val="22"/>
          </w:rPr>
          <w:t xml:space="preserve"> and Acquisitions</w:t>
        </w:r>
      </w:hyperlink>
      <w:r w:rsidRPr="00601B1A">
        <w:tab/>
      </w:r>
      <w:r w:rsidR="00F43A5B" w:rsidRPr="00601B1A">
        <w:t>3</w:t>
      </w:r>
      <w:r w:rsidR="00687A04">
        <w:t>4</w:t>
      </w:r>
    </w:p>
    <w:p w14:paraId="4315133E" w14:textId="46C9433B" w:rsidR="00DF7DFD" w:rsidRPr="00601B1A" w:rsidRDefault="00F62BB8" w:rsidP="00055752">
      <w:pPr>
        <w:pStyle w:val="TOC1"/>
      </w:pPr>
      <w:r w:rsidRPr="00601B1A">
        <w:t xml:space="preserve">26.  </w:t>
      </w:r>
      <w:hyperlink w:anchor="_Exit_or_Disposal" w:history="1">
        <w:r w:rsidRPr="00601B1A">
          <w:rPr>
            <w:rStyle w:val="Hyperlink"/>
            <w:rFonts w:ascii="Century Gothic" w:hAnsi="Century Gothic"/>
            <w:sz w:val="22"/>
            <w:szCs w:val="22"/>
          </w:rPr>
          <w:t>Exit or Disposal Cost, including Restructuring Cost</w:t>
        </w:r>
      </w:hyperlink>
      <w:r w:rsidRPr="00601B1A">
        <w:tab/>
      </w:r>
      <w:r w:rsidR="009E477C" w:rsidRPr="00601B1A">
        <w:t>3</w:t>
      </w:r>
      <w:r w:rsidR="0021660E">
        <w:t>6</w:t>
      </w:r>
    </w:p>
    <w:p w14:paraId="1A9001A0" w14:textId="5118CE72"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27.  </w:t>
      </w:r>
      <w:hyperlink w:anchor="_Discontinued_Operations" w:history="1">
        <w:r w:rsidRPr="00601B1A">
          <w:rPr>
            <w:rStyle w:val="Hyperlink"/>
            <w:rFonts w:ascii="Century Gothic" w:hAnsi="Century Gothic"/>
            <w:sz w:val="22"/>
            <w:szCs w:val="22"/>
          </w:rPr>
          <w:t>Discontinued Operations</w:t>
        </w:r>
      </w:hyperlink>
      <w:r w:rsidRPr="00601B1A">
        <w:rPr>
          <w:rFonts w:ascii="Century Gothic" w:hAnsi="Century Gothic"/>
          <w:sz w:val="22"/>
          <w:szCs w:val="22"/>
        </w:rPr>
        <w:tab/>
      </w:r>
      <w:r w:rsidR="009E477C" w:rsidRPr="00601B1A">
        <w:rPr>
          <w:rFonts w:ascii="Century Gothic" w:hAnsi="Century Gothic"/>
          <w:sz w:val="22"/>
          <w:szCs w:val="22"/>
        </w:rPr>
        <w:t>3</w:t>
      </w:r>
      <w:r w:rsidR="0021660E">
        <w:rPr>
          <w:rFonts w:ascii="Century Gothic" w:hAnsi="Century Gothic"/>
          <w:sz w:val="22"/>
          <w:szCs w:val="22"/>
        </w:rPr>
        <w:t>7</w:t>
      </w:r>
    </w:p>
    <w:p w14:paraId="219B1146" w14:textId="15DA9676"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28.  </w:t>
      </w:r>
      <w:hyperlink w:anchor="_Interest_Expense" w:history="1">
        <w:r w:rsidRPr="00601B1A">
          <w:rPr>
            <w:rStyle w:val="Hyperlink"/>
            <w:rFonts w:ascii="Century Gothic" w:hAnsi="Century Gothic"/>
            <w:sz w:val="22"/>
            <w:szCs w:val="22"/>
          </w:rPr>
          <w:t>Interest Expense</w:t>
        </w:r>
      </w:hyperlink>
      <w:r w:rsidRPr="00601B1A">
        <w:rPr>
          <w:rFonts w:ascii="Century Gothic" w:hAnsi="Century Gothic"/>
          <w:sz w:val="22"/>
          <w:szCs w:val="22"/>
        </w:rPr>
        <w:tab/>
      </w:r>
      <w:r w:rsidR="009E477C" w:rsidRPr="00601B1A">
        <w:rPr>
          <w:rFonts w:ascii="Century Gothic" w:hAnsi="Century Gothic"/>
          <w:sz w:val="22"/>
          <w:szCs w:val="22"/>
        </w:rPr>
        <w:t>3</w:t>
      </w:r>
      <w:r w:rsidR="0021660E">
        <w:rPr>
          <w:rFonts w:ascii="Century Gothic" w:hAnsi="Century Gothic"/>
          <w:sz w:val="22"/>
          <w:szCs w:val="22"/>
        </w:rPr>
        <w:t>7</w:t>
      </w:r>
    </w:p>
    <w:p w14:paraId="54F25C1B" w14:textId="6A0AAD47"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29.  </w:t>
      </w:r>
      <w:hyperlink w:anchor="_Income_Tax" w:history="1">
        <w:r w:rsidRPr="00601B1A">
          <w:rPr>
            <w:rStyle w:val="Hyperlink"/>
            <w:rFonts w:ascii="Century Gothic" w:hAnsi="Century Gothic"/>
            <w:sz w:val="22"/>
            <w:szCs w:val="22"/>
          </w:rPr>
          <w:t>Income Tax</w:t>
        </w:r>
      </w:hyperlink>
      <w:r w:rsidRPr="00601B1A">
        <w:rPr>
          <w:rFonts w:ascii="Century Gothic" w:hAnsi="Century Gothic"/>
          <w:sz w:val="22"/>
          <w:szCs w:val="22"/>
        </w:rPr>
        <w:tab/>
      </w:r>
      <w:r w:rsidR="009E477C" w:rsidRPr="00601B1A">
        <w:rPr>
          <w:rFonts w:ascii="Century Gothic" w:hAnsi="Century Gothic"/>
          <w:sz w:val="22"/>
          <w:szCs w:val="22"/>
        </w:rPr>
        <w:t>3</w:t>
      </w:r>
      <w:r w:rsidR="0021660E">
        <w:rPr>
          <w:rFonts w:ascii="Century Gothic" w:hAnsi="Century Gothic"/>
          <w:sz w:val="22"/>
          <w:szCs w:val="22"/>
        </w:rPr>
        <w:t>7</w:t>
      </w:r>
    </w:p>
    <w:p w14:paraId="70C4620E" w14:textId="2A1C2B12"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30.  </w:t>
      </w:r>
      <w:hyperlink w:anchor="_Other_Comprehensive_Income" w:history="1">
        <w:r w:rsidRPr="00601B1A">
          <w:rPr>
            <w:rStyle w:val="Hyperlink"/>
            <w:rFonts w:ascii="Century Gothic" w:hAnsi="Century Gothic"/>
            <w:sz w:val="22"/>
            <w:szCs w:val="22"/>
          </w:rPr>
          <w:t>Other Comprehensive Income (Loss)</w:t>
        </w:r>
      </w:hyperlink>
      <w:r w:rsidRPr="00601B1A">
        <w:rPr>
          <w:rFonts w:ascii="Century Gothic" w:hAnsi="Century Gothic"/>
          <w:sz w:val="22"/>
          <w:szCs w:val="22"/>
        </w:rPr>
        <w:tab/>
      </w:r>
      <w:r w:rsidR="009E477C" w:rsidRPr="00601B1A">
        <w:rPr>
          <w:rFonts w:ascii="Century Gothic" w:hAnsi="Century Gothic"/>
          <w:sz w:val="22"/>
          <w:szCs w:val="22"/>
        </w:rPr>
        <w:t>3</w:t>
      </w:r>
      <w:r w:rsidR="0021660E">
        <w:rPr>
          <w:rFonts w:ascii="Century Gothic" w:hAnsi="Century Gothic"/>
          <w:sz w:val="22"/>
          <w:szCs w:val="22"/>
        </w:rPr>
        <w:t>8</w:t>
      </w:r>
    </w:p>
    <w:p w14:paraId="46D9F1BC" w14:textId="2ECAC0E5" w:rsidR="00565AA4"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31.  </w:t>
      </w:r>
      <w:hyperlink w:anchor="_Derivatives" w:history="1">
        <w:r w:rsidRPr="00601B1A">
          <w:rPr>
            <w:rStyle w:val="Hyperlink"/>
            <w:rFonts w:ascii="Century Gothic" w:hAnsi="Century Gothic"/>
            <w:sz w:val="22"/>
            <w:szCs w:val="22"/>
          </w:rPr>
          <w:t>Derivatives</w:t>
        </w:r>
      </w:hyperlink>
      <w:r w:rsidRPr="00601B1A">
        <w:rPr>
          <w:rFonts w:ascii="Century Gothic" w:hAnsi="Century Gothic"/>
          <w:sz w:val="22"/>
          <w:szCs w:val="22"/>
        </w:rPr>
        <w:tab/>
      </w:r>
      <w:r w:rsidR="009E477C" w:rsidRPr="00601B1A">
        <w:rPr>
          <w:rFonts w:ascii="Century Gothic" w:hAnsi="Century Gothic"/>
          <w:sz w:val="22"/>
          <w:szCs w:val="22"/>
        </w:rPr>
        <w:t>3</w:t>
      </w:r>
      <w:r w:rsidR="0021660E">
        <w:rPr>
          <w:rFonts w:ascii="Century Gothic" w:hAnsi="Century Gothic"/>
          <w:sz w:val="22"/>
          <w:szCs w:val="22"/>
        </w:rPr>
        <w:t>8</w:t>
      </w:r>
    </w:p>
    <w:p w14:paraId="4F56CC57" w14:textId="274CF18C" w:rsidR="00DF7DFD" w:rsidRPr="00601B1A" w:rsidRDefault="00565AA4" w:rsidP="00055752">
      <w:pPr>
        <w:pStyle w:val="TOC1"/>
        <w:rPr>
          <w:rFonts w:ascii="Century Gothic" w:hAnsi="Century Gothic"/>
          <w:sz w:val="22"/>
          <w:szCs w:val="22"/>
        </w:rPr>
      </w:pPr>
      <w:r w:rsidRPr="00601B1A">
        <w:rPr>
          <w:rFonts w:ascii="Century Gothic" w:hAnsi="Century Gothic"/>
          <w:sz w:val="22"/>
          <w:szCs w:val="22"/>
        </w:rPr>
        <w:t>3</w:t>
      </w:r>
      <w:r w:rsidR="00F62BB8" w:rsidRPr="00601B1A">
        <w:rPr>
          <w:rFonts w:ascii="Century Gothic" w:hAnsi="Century Gothic"/>
          <w:sz w:val="22"/>
          <w:szCs w:val="22"/>
        </w:rPr>
        <w:t xml:space="preserve">2.  </w:t>
      </w:r>
      <w:hyperlink w:anchor="_Management_Charges" w:history="1">
        <w:r w:rsidR="00F62BB8" w:rsidRPr="00601B1A">
          <w:rPr>
            <w:rStyle w:val="Hyperlink"/>
            <w:rFonts w:ascii="Century Gothic" w:hAnsi="Century Gothic"/>
            <w:sz w:val="22"/>
            <w:szCs w:val="22"/>
          </w:rPr>
          <w:t>Management Charges</w:t>
        </w:r>
      </w:hyperlink>
      <w:r w:rsidR="00F62BB8" w:rsidRPr="00601B1A">
        <w:rPr>
          <w:rFonts w:ascii="Century Gothic" w:hAnsi="Century Gothic"/>
          <w:sz w:val="22"/>
          <w:szCs w:val="22"/>
        </w:rPr>
        <w:tab/>
      </w:r>
      <w:r w:rsidR="009E477C" w:rsidRPr="00601B1A">
        <w:rPr>
          <w:rFonts w:ascii="Century Gothic" w:hAnsi="Century Gothic"/>
          <w:sz w:val="22"/>
          <w:szCs w:val="22"/>
        </w:rPr>
        <w:t>3</w:t>
      </w:r>
      <w:r w:rsidR="00FF6C76">
        <w:rPr>
          <w:rFonts w:ascii="Century Gothic" w:hAnsi="Century Gothic"/>
          <w:sz w:val="22"/>
          <w:szCs w:val="22"/>
        </w:rPr>
        <w:t>9</w:t>
      </w:r>
    </w:p>
    <w:p w14:paraId="4FEA001E" w14:textId="71E43CDB"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33.  </w:t>
      </w:r>
      <w:hyperlink w:anchor="_Foreign_Currency" w:history="1">
        <w:r w:rsidRPr="00601B1A">
          <w:rPr>
            <w:rStyle w:val="Hyperlink"/>
            <w:rFonts w:ascii="Century Gothic" w:hAnsi="Century Gothic"/>
            <w:sz w:val="22"/>
            <w:szCs w:val="22"/>
          </w:rPr>
          <w:t>Foreign Currency</w:t>
        </w:r>
      </w:hyperlink>
      <w:r w:rsidRPr="00601B1A">
        <w:rPr>
          <w:rFonts w:ascii="Century Gothic" w:hAnsi="Century Gothic"/>
          <w:sz w:val="22"/>
          <w:szCs w:val="22"/>
        </w:rPr>
        <w:tab/>
      </w:r>
      <w:r w:rsidR="009E477C" w:rsidRPr="00601B1A">
        <w:rPr>
          <w:rFonts w:ascii="Century Gothic" w:hAnsi="Century Gothic"/>
          <w:sz w:val="22"/>
          <w:szCs w:val="22"/>
        </w:rPr>
        <w:t>3</w:t>
      </w:r>
      <w:r w:rsidR="00FF6C76">
        <w:rPr>
          <w:rFonts w:ascii="Century Gothic" w:hAnsi="Century Gothic"/>
          <w:sz w:val="22"/>
          <w:szCs w:val="22"/>
        </w:rPr>
        <w:t>9</w:t>
      </w:r>
    </w:p>
    <w:p w14:paraId="5F1368EC" w14:textId="75B93196"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34.  </w:t>
      </w:r>
      <w:hyperlink w:anchor="_Earnings_(Loss)_Per" w:history="1">
        <w:r w:rsidRPr="00601B1A">
          <w:rPr>
            <w:rStyle w:val="Hyperlink"/>
            <w:rFonts w:ascii="Century Gothic" w:hAnsi="Century Gothic"/>
            <w:sz w:val="22"/>
            <w:szCs w:val="22"/>
          </w:rPr>
          <w:t xml:space="preserve">Earnings (Loss) Per </w:t>
        </w:r>
        <w:r w:rsidR="004D7F3F" w:rsidRPr="00601B1A">
          <w:rPr>
            <w:rStyle w:val="Hyperlink"/>
            <w:rFonts w:ascii="Century Gothic" w:hAnsi="Century Gothic"/>
            <w:sz w:val="22"/>
            <w:szCs w:val="22"/>
          </w:rPr>
          <w:t>Share</w:t>
        </w:r>
      </w:hyperlink>
      <w:r w:rsidRPr="00601B1A">
        <w:rPr>
          <w:rFonts w:ascii="Century Gothic" w:hAnsi="Century Gothic"/>
          <w:sz w:val="22"/>
          <w:szCs w:val="22"/>
        </w:rPr>
        <w:tab/>
      </w:r>
      <w:r w:rsidR="00FF6C76">
        <w:rPr>
          <w:rFonts w:ascii="Century Gothic" w:hAnsi="Century Gothic"/>
          <w:sz w:val="22"/>
          <w:szCs w:val="22"/>
        </w:rPr>
        <w:t>40</w:t>
      </w:r>
    </w:p>
    <w:p w14:paraId="06AD0067" w14:textId="72426368" w:rsidR="00DF7DFD" w:rsidRPr="00601B1A" w:rsidRDefault="00F62BB8" w:rsidP="00055752">
      <w:pPr>
        <w:pStyle w:val="TOC1"/>
        <w:rPr>
          <w:rFonts w:ascii="Century Gothic" w:hAnsi="Century Gothic"/>
          <w:sz w:val="22"/>
          <w:szCs w:val="22"/>
        </w:rPr>
      </w:pPr>
      <w:r w:rsidRPr="00601B1A">
        <w:rPr>
          <w:rFonts w:ascii="Century Gothic" w:hAnsi="Century Gothic"/>
          <w:sz w:val="22"/>
          <w:szCs w:val="22"/>
        </w:rPr>
        <w:t xml:space="preserve">35.  </w:t>
      </w:r>
      <w:hyperlink w:anchor="_Recently_Issued_Accounting" w:history="1">
        <w:r w:rsidRPr="00601B1A">
          <w:rPr>
            <w:rStyle w:val="Hyperlink"/>
            <w:rFonts w:ascii="Century Gothic" w:hAnsi="Century Gothic"/>
            <w:sz w:val="22"/>
            <w:szCs w:val="22"/>
          </w:rPr>
          <w:t>Recently Issued Accounting Standards</w:t>
        </w:r>
      </w:hyperlink>
      <w:r w:rsidRPr="00601B1A">
        <w:rPr>
          <w:rFonts w:ascii="Century Gothic" w:hAnsi="Century Gothic"/>
          <w:sz w:val="22"/>
          <w:szCs w:val="22"/>
        </w:rPr>
        <w:tab/>
      </w:r>
      <w:r w:rsidR="00FF6C76">
        <w:rPr>
          <w:rFonts w:ascii="Century Gothic" w:hAnsi="Century Gothic"/>
          <w:sz w:val="22"/>
          <w:szCs w:val="22"/>
        </w:rPr>
        <w:t>40</w:t>
      </w:r>
    </w:p>
    <w:p w14:paraId="35F51AA7" w14:textId="44E73F8A" w:rsidR="000971D0" w:rsidRPr="00601B1A" w:rsidRDefault="000971D0" w:rsidP="00055752">
      <w:pPr>
        <w:pStyle w:val="TOC1"/>
      </w:pPr>
      <w:r w:rsidRPr="00601B1A">
        <w:t xml:space="preserve">36.  </w:t>
      </w:r>
      <w:hyperlink w:anchor="_Quantifying_Errors_and" w:history="1">
        <w:r w:rsidRPr="00601B1A">
          <w:rPr>
            <w:rStyle w:val="Hyperlink"/>
            <w:rFonts w:ascii="Century Gothic" w:hAnsi="Century Gothic"/>
            <w:sz w:val="22"/>
            <w:szCs w:val="22"/>
          </w:rPr>
          <w:t>Quantifying Errors and Determining Materiality</w:t>
        </w:r>
      </w:hyperlink>
      <w:r w:rsidRPr="00601B1A">
        <w:tab/>
      </w:r>
      <w:r w:rsidR="00F43A5B" w:rsidRPr="00601B1A">
        <w:t>4</w:t>
      </w:r>
      <w:r w:rsidR="00FF6C76">
        <w:t>1</w:t>
      </w:r>
    </w:p>
    <w:p w14:paraId="170C4B18" w14:textId="42C8B7C9" w:rsidR="009A407B" w:rsidRPr="00601B1A" w:rsidRDefault="009A407B" w:rsidP="00055752">
      <w:pPr>
        <w:pStyle w:val="TOC1"/>
        <w:rPr>
          <w:rFonts w:ascii="Century Gothic" w:hAnsi="Century Gothic"/>
          <w:sz w:val="22"/>
          <w:szCs w:val="22"/>
        </w:rPr>
      </w:pPr>
      <w:r w:rsidRPr="00601B1A">
        <w:rPr>
          <w:rFonts w:ascii="Century Gothic" w:hAnsi="Century Gothic"/>
          <w:sz w:val="22"/>
          <w:szCs w:val="22"/>
        </w:rPr>
        <w:t xml:space="preserve">37.  </w:t>
      </w:r>
      <w:hyperlink w:anchor="_Unusual_Transactions" w:history="1">
        <w:r w:rsidRPr="00601B1A">
          <w:rPr>
            <w:rStyle w:val="Hyperlink"/>
            <w:rFonts w:ascii="Century Gothic" w:hAnsi="Century Gothic"/>
            <w:sz w:val="22"/>
            <w:szCs w:val="22"/>
          </w:rPr>
          <w:t>Unusual Transactions</w:t>
        </w:r>
      </w:hyperlink>
      <w:r w:rsidRPr="00601B1A">
        <w:rPr>
          <w:rFonts w:ascii="Century Gothic" w:hAnsi="Century Gothic"/>
          <w:sz w:val="22"/>
          <w:szCs w:val="22"/>
        </w:rPr>
        <w:tab/>
      </w:r>
      <w:r w:rsidR="00F43A5B" w:rsidRPr="00601B1A">
        <w:rPr>
          <w:rFonts w:ascii="Century Gothic" w:hAnsi="Century Gothic"/>
          <w:sz w:val="22"/>
          <w:szCs w:val="22"/>
        </w:rPr>
        <w:t>4</w:t>
      </w:r>
      <w:r w:rsidR="009A3EBD">
        <w:rPr>
          <w:rFonts w:ascii="Century Gothic" w:hAnsi="Century Gothic"/>
          <w:sz w:val="22"/>
          <w:szCs w:val="22"/>
        </w:rPr>
        <w:t>1</w:t>
      </w:r>
    </w:p>
    <w:p w14:paraId="45FEC2C3" w14:textId="0423FB63" w:rsidR="008B7BCD" w:rsidRPr="00601B1A" w:rsidRDefault="008B7BCD" w:rsidP="00055752">
      <w:pPr>
        <w:pStyle w:val="TOC1"/>
        <w:rPr>
          <w:rFonts w:ascii="Century Gothic" w:hAnsi="Century Gothic"/>
          <w:sz w:val="22"/>
          <w:szCs w:val="22"/>
        </w:rPr>
      </w:pPr>
      <w:r w:rsidRPr="00601B1A">
        <w:rPr>
          <w:rFonts w:ascii="Century Gothic" w:hAnsi="Century Gothic"/>
          <w:sz w:val="22"/>
          <w:szCs w:val="22"/>
        </w:rPr>
        <w:t xml:space="preserve">38.  </w:t>
      </w:r>
      <w:hyperlink w:anchor="_Grants_and_Donations" w:history="1">
        <w:r w:rsidRPr="00601B1A">
          <w:rPr>
            <w:rStyle w:val="Hyperlink"/>
            <w:rFonts w:ascii="Century Gothic" w:hAnsi="Century Gothic"/>
            <w:sz w:val="22"/>
            <w:szCs w:val="22"/>
          </w:rPr>
          <w:t>Grants and Donations</w:t>
        </w:r>
      </w:hyperlink>
      <w:r w:rsidRPr="00601B1A">
        <w:rPr>
          <w:rFonts w:ascii="Century Gothic" w:hAnsi="Century Gothic"/>
          <w:sz w:val="22"/>
          <w:szCs w:val="22"/>
        </w:rPr>
        <w:tab/>
      </w:r>
      <w:r w:rsidR="00F43A5B" w:rsidRPr="00601B1A">
        <w:rPr>
          <w:rFonts w:ascii="Century Gothic" w:hAnsi="Century Gothic"/>
          <w:sz w:val="22"/>
          <w:szCs w:val="22"/>
        </w:rPr>
        <w:t>4</w:t>
      </w:r>
      <w:r w:rsidR="009A3EBD">
        <w:rPr>
          <w:rFonts w:ascii="Century Gothic" w:hAnsi="Century Gothic"/>
          <w:sz w:val="22"/>
          <w:szCs w:val="22"/>
        </w:rPr>
        <w:t>1</w:t>
      </w:r>
    </w:p>
    <w:p w14:paraId="78C44E9F" w14:textId="6BE41F40" w:rsidR="008B7BCD" w:rsidRPr="009D7A9F" w:rsidRDefault="008B7BCD" w:rsidP="008B7BCD">
      <w:pPr>
        <w:rPr>
          <w:rFonts w:ascii="Century Gothic" w:hAnsi="Century Gothic"/>
          <w:sz w:val="22"/>
          <w:szCs w:val="22"/>
        </w:rPr>
      </w:pPr>
    </w:p>
    <w:p w14:paraId="298FDD00" w14:textId="77777777" w:rsidR="008B7BCD" w:rsidRPr="008B7BCD" w:rsidRDefault="008B7BCD" w:rsidP="008B7BCD"/>
    <w:p w14:paraId="17A2AF61" w14:textId="77777777" w:rsidR="00E40CCE" w:rsidRDefault="00E40CCE" w:rsidP="00E40CCE"/>
    <w:p w14:paraId="572ECF7D" w14:textId="77777777" w:rsidR="0081207B" w:rsidRPr="0081207B" w:rsidRDefault="0081207B" w:rsidP="0081207B"/>
    <w:p w14:paraId="39DAD18A" w14:textId="77777777" w:rsidR="009A407B" w:rsidRPr="009A407B" w:rsidRDefault="009A407B" w:rsidP="009A407B"/>
    <w:p w14:paraId="1AA580E3" w14:textId="77777777" w:rsidR="000971D0" w:rsidRPr="000971D0" w:rsidRDefault="000971D0" w:rsidP="000971D0"/>
    <w:p w14:paraId="5A4E5191" w14:textId="77777777" w:rsidR="000971D0" w:rsidRPr="000971D0" w:rsidRDefault="000971D0" w:rsidP="000971D0"/>
    <w:p w14:paraId="099BFDFF" w14:textId="77777777" w:rsidR="00DF7DFD" w:rsidRDefault="00DF7DFD" w:rsidP="00055752">
      <w:pPr>
        <w:pStyle w:val="TOC1"/>
      </w:pPr>
    </w:p>
    <w:p w14:paraId="406BDCB4" w14:textId="77777777" w:rsidR="00DF7DFD" w:rsidRDefault="00DF7DFD">
      <w:pPr>
        <w:rPr>
          <w:rFonts w:ascii="Century Gothic" w:hAnsi="Century Gothic"/>
        </w:rPr>
      </w:pPr>
    </w:p>
    <w:p w14:paraId="04FEC0A8" w14:textId="77777777" w:rsidR="00DF7DFD" w:rsidRDefault="00DF7DFD" w:rsidP="00055752">
      <w:pPr>
        <w:pStyle w:val="TOC1"/>
      </w:pPr>
    </w:p>
    <w:p w14:paraId="3C31A9A6" w14:textId="77777777" w:rsidR="00DF7DFD" w:rsidRDefault="00F62BB8">
      <w:pPr>
        <w:pStyle w:val="Heading1"/>
        <w:jc w:val="both"/>
        <w:rPr>
          <w:rFonts w:ascii="Century Gothic" w:hAnsi="Century Gothic"/>
        </w:rPr>
      </w:pPr>
      <w:r>
        <w:rPr>
          <w:rFonts w:ascii="Century Gothic" w:hAnsi="Century Gothic"/>
        </w:rPr>
        <w:br w:type="page"/>
      </w:r>
    </w:p>
    <w:p w14:paraId="58461D1F" w14:textId="77777777" w:rsidR="00DF7DFD" w:rsidRDefault="00F62BB8">
      <w:pPr>
        <w:tabs>
          <w:tab w:val="left" w:pos="1824"/>
        </w:tabs>
        <w:jc w:val="both"/>
        <w:rPr>
          <w:b/>
          <w:sz w:val="48"/>
          <w:szCs w:val="48"/>
        </w:rPr>
      </w:pPr>
      <w:r>
        <w:rPr>
          <w:rFonts w:ascii="Century Gothic" w:hAnsi="Century Gothic"/>
          <w:b/>
          <w:sz w:val="48"/>
          <w:szCs w:val="48"/>
        </w:rPr>
        <w:t>Introduction</w:t>
      </w:r>
    </w:p>
    <w:p w14:paraId="14D8039C" w14:textId="77777777" w:rsidR="00DF7DFD" w:rsidRDefault="00DF7DFD">
      <w:pPr>
        <w:tabs>
          <w:tab w:val="left" w:pos="1824"/>
        </w:tabs>
        <w:jc w:val="both"/>
      </w:pPr>
    </w:p>
    <w:p w14:paraId="3E0F26E1" w14:textId="77777777" w:rsidR="00DF7DFD" w:rsidRDefault="00F62BB8">
      <w:pPr>
        <w:pStyle w:val="Heading2"/>
        <w:tabs>
          <w:tab w:val="num" w:pos="1440"/>
        </w:tabs>
        <w:rPr>
          <w:rFonts w:ascii="Century Gothic" w:hAnsi="Century Gothic" w:cs="Arial"/>
          <w:sz w:val="20"/>
        </w:rPr>
      </w:pPr>
      <w:bookmarkStart w:id="8" w:name="_Purpose"/>
      <w:bookmarkStart w:id="9" w:name="_Toc308509424"/>
      <w:bookmarkEnd w:id="8"/>
      <w:r>
        <w:rPr>
          <w:rFonts w:ascii="Century Gothic" w:hAnsi="Century Gothic" w:cs="Arial"/>
          <w:sz w:val="20"/>
        </w:rPr>
        <w:t>Purpose</w:t>
      </w:r>
      <w:bookmarkEnd w:id="9"/>
    </w:p>
    <w:p w14:paraId="665349D9" w14:textId="7581E6B0" w:rsidR="00DF7DFD" w:rsidRDefault="00F62BB8">
      <w:pPr>
        <w:tabs>
          <w:tab w:val="left" w:pos="1385"/>
        </w:tabs>
        <w:jc w:val="both"/>
        <w:rPr>
          <w:rFonts w:ascii="Arial" w:hAnsi="Arial" w:cs="Arial"/>
          <w:sz w:val="20"/>
        </w:rPr>
      </w:pPr>
      <w:r>
        <w:rPr>
          <w:rFonts w:ascii="Arial" w:hAnsi="Arial" w:cs="Arial"/>
          <w:sz w:val="20"/>
        </w:rPr>
        <w:t xml:space="preserve">The purpose of this manual is to communicate the accounting policies that govern and support the business practices, operations and transactions of Bioventus </w:t>
      </w:r>
      <w:r w:rsidR="00E66900">
        <w:rPr>
          <w:rFonts w:ascii="Arial" w:hAnsi="Arial" w:cs="Arial"/>
          <w:sz w:val="20"/>
        </w:rPr>
        <w:t xml:space="preserve">Inc. </w:t>
      </w:r>
      <w:r>
        <w:rPr>
          <w:rFonts w:ascii="Arial" w:hAnsi="Arial" w:cs="Arial"/>
          <w:sz w:val="20"/>
        </w:rPr>
        <w:t>and its subsidiaries (Bioventus or the Company). The Company’s consolidated financial statements are prepared in accordance with accounting principles generally accepted in the United States of America (U.S.</w:t>
      </w:r>
      <w:r w:rsidR="001367B1">
        <w:rPr>
          <w:rFonts w:ascii="Arial" w:hAnsi="Arial" w:cs="Arial"/>
          <w:sz w:val="20"/>
        </w:rPr>
        <w:t xml:space="preserve"> </w:t>
      </w:r>
      <w:r>
        <w:rPr>
          <w:rFonts w:ascii="Arial" w:hAnsi="Arial" w:cs="Arial"/>
          <w:sz w:val="20"/>
        </w:rPr>
        <w:t>GAAP) and regulations of the United States Securities Exchange Commission (SEC). Accordingly, the accounting policies contained in this manual are in accordance with U.S. GAAP and SEC regulations.</w:t>
      </w:r>
    </w:p>
    <w:p w14:paraId="2444E7F2" w14:textId="77777777" w:rsidR="00DF7DFD" w:rsidRDefault="00DF7DFD">
      <w:pPr>
        <w:tabs>
          <w:tab w:val="left" w:pos="676"/>
          <w:tab w:val="left" w:pos="1385"/>
          <w:tab w:val="num" w:pos="2160"/>
        </w:tabs>
        <w:jc w:val="both"/>
        <w:rPr>
          <w:rFonts w:ascii="Arial" w:hAnsi="Arial" w:cs="Arial"/>
          <w:sz w:val="20"/>
        </w:rPr>
      </w:pPr>
    </w:p>
    <w:p w14:paraId="0282E7CA" w14:textId="77777777" w:rsidR="00DF7DFD" w:rsidRDefault="00F62BB8">
      <w:pPr>
        <w:pStyle w:val="Heading2"/>
        <w:tabs>
          <w:tab w:val="num" w:pos="1440"/>
        </w:tabs>
        <w:rPr>
          <w:rFonts w:ascii="Century Gothic" w:hAnsi="Century Gothic" w:cs="Arial"/>
          <w:sz w:val="20"/>
        </w:rPr>
      </w:pPr>
      <w:r>
        <w:rPr>
          <w:rFonts w:ascii="Century Gothic" w:hAnsi="Century Gothic" w:cs="Arial"/>
          <w:sz w:val="20"/>
        </w:rPr>
        <w:t>Scope</w:t>
      </w:r>
    </w:p>
    <w:p w14:paraId="7302DEB0" w14:textId="77777777" w:rsidR="00DF7DFD" w:rsidRDefault="00F62BB8">
      <w:pPr>
        <w:tabs>
          <w:tab w:val="left" w:pos="676"/>
          <w:tab w:val="left" w:pos="1385"/>
          <w:tab w:val="num" w:pos="2160"/>
        </w:tabs>
        <w:jc w:val="both"/>
        <w:rPr>
          <w:rFonts w:ascii="Arial" w:hAnsi="Arial" w:cs="Arial"/>
          <w:sz w:val="20"/>
        </w:rPr>
      </w:pPr>
      <w:r>
        <w:rPr>
          <w:rFonts w:ascii="Arial" w:hAnsi="Arial" w:cs="Arial"/>
          <w:sz w:val="20"/>
        </w:rPr>
        <w:t>The Manual applies to all finance personnel responsible for recording financial transactions and reporting the financial results of Bioventus.</w:t>
      </w:r>
    </w:p>
    <w:p w14:paraId="5025E985" w14:textId="77777777" w:rsidR="00DF7DFD" w:rsidRDefault="00DF7DFD">
      <w:pPr>
        <w:pStyle w:val="Heading2"/>
        <w:tabs>
          <w:tab w:val="num" w:pos="1440"/>
        </w:tabs>
        <w:spacing w:line="240" w:lineRule="auto"/>
        <w:rPr>
          <w:rFonts w:ascii="Century Gothic" w:hAnsi="Century Gothic" w:cs="Arial"/>
          <w:sz w:val="20"/>
        </w:rPr>
      </w:pPr>
      <w:bookmarkStart w:id="10" w:name="_Toc308509425"/>
    </w:p>
    <w:p w14:paraId="597C6D27" w14:textId="77777777" w:rsidR="00DF7DFD" w:rsidRDefault="00F62BB8">
      <w:pPr>
        <w:pStyle w:val="Heading2"/>
        <w:tabs>
          <w:tab w:val="num" w:pos="1440"/>
        </w:tabs>
        <w:rPr>
          <w:rFonts w:ascii="Arial" w:hAnsi="Arial" w:cs="Arial"/>
          <w:sz w:val="20"/>
        </w:rPr>
      </w:pPr>
      <w:r>
        <w:rPr>
          <w:rFonts w:ascii="Century Gothic" w:hAnsi="Century Gothic" w:cs="Arial"/>
          <w:sz w:val="20"/>
        </w:rPr>
        <w:t>Issuance and Effect</w:t>
      </w:r>
      <w:bookmarkEnd w:id="10"/>
    </w:p>
    <w:p w14:paraId="15746935" w14:textId="3E24449E" w:rsidR="00DF7DFD" w:rsidRDefault="00F62BB8">
      <w:pPr>
        <w:tabs>
          <w:tab w:val="left" w:pos="676"/>
          <w:tab w:val="left" w:pos="1385"/>
          <w:tab w:val="num" w:pos="2160"/>
        </w:tabs>
        <w:jc w:val="both"/>
        <w:rPr>
          <w:rFonts w:ascii="Arial" w:hAnsi="Arial" w:cs="Arial"/>
          <w:sz w:val="20"/>
        </w:rPr>
      </w:pPr>
      <w:r>
        <w:rPr>
          <w:rFonts w:ascii="Arial" w:hAnsi="Arial" w:cs="Arial"/>
          <w:sz w:val="20"/>
        </w:rPr>
        <w:t xml:space="preserve">The Manual is issued by </w:t>
      </w:r>
      <w:r w:rsidRPr="008A2CD3">
        <w:rPr>
          <w:rFonts w:ascii="Arial" w:hAnsi="Arial" w:cs="Arial"/>
          <w:sz w:val="20"/>
        </w:rPr>
        <w:t>the</w:t>
      </w:r>
      <w:r w:rsidR="00E97D64" w:rsidRPr="00051B3D">
        <w:rPr>
          <w:rFonts w:ascii="Arial" w:hAnsi="Arial" w:cs="Arial"/>
          <w:sz w:val="20"/>
        </w:rPr>
        <w:t xml:space="preserve"> </w:t>
      </w:r>
      <w:r w:rsidR="00E97D64" w:rsidRPr="008A2CD3">
        <w:rPr>
          <w:rFonts w:ascii="Arial" w:hAnsi="Arial" w:cs="Arial"/>
          <w:sz w:val="20"/>
        </w:rPr>
        <w:t>Chief Accounting Officer (CAO) and approved by the</w:t>
      </w:r>
      <w:r w:rsidRPr="008A2CD3">
        <w:rPr>
          <w:rFonts w:ascii="Arial" w:hAnsi="Arial" w:cs="Arial"/>
          <w:sz w:val="20"/>
        </w:rPr>
        <w:t xml:space="preserve"> Chief </w:t>
      </w:r>
      <w:r w:rsidR="00B2328E" w:rsidRPr="008A2CD3">
        <w:rPr>
          <w:rFonts w:ascii="Arial" w:hAnsi="Arial" w:cs="Arial"/>
          <w:sz w:val="20"/>
        </w:rPr>
        <w:t xml:space="preserve">Finance </w:t>
      </w:r>
      <w:r w:rsidRPr="008A2CD3">
        <w:rPr>
          <w:rFonts w:ascii="Arial" w:hAnsi="Arial" w:cs="Arial"/>
          <w:sz w:val="20"/>
        </w:rPr>
        <w:t>Officer (C</w:t>
      </w:r>
      <w:r w:rsidR="00B2328E" w:rsidRPr="008A2CD3">
        <w:rPr>
          <w:rFonts w:ascii="Arial" w:hAnsi="Arial" w:cs="Arial"/>
          <w:sz w:val="20"/>
        </w:rPr>
        <w:t>F</w:t>
      </w:r>
      <w:r w:rsidRPr="008A2CD3">
        <w:rPr>
          <w:rFonts w:ascii="Arial" w:hAnsi="Arial" w:cs="Arial"/>
          <w:sz w:val="20"/>
        </w:rPr>
        <w:t>O) of Bioventus.  Each new revision has immediate effect.  This Manual is meant to be continuously updated and improved upon, as new accounting guidance is issued and/or modified. Your support and contribution in providing constant feedback will be a vital part of this process. Any comments should be sent to the</w:t>
      </w:r>
      <w:r w:rsidR="00F22636" w:rsidRPr="008A2CD3">
        <w:rPr>
          <w:rFonts w:ascii="Arial" w:hAnsi="Arial" w:cs="Arial"/>
          <w:sz w:val="20"/>
        </w:rPr>
        <w:t xml:space="preserve"> </w:t>
      </w:r>
      <w:r w:rsidR="00EA15EB" w:rsidRPr="008A2CD3">
        <w:rPr>
          <w:rFonts w:ascii="Arial" w:hAnsi="Arial"/>
          <w:sz w:val="20"/>
        </w:rPr>
        <w:t>Director</w:t>
      </w:r>
      <w:r w:rsidR="00EA15EB" w:rsidRPr="009D7A9F">
        <w:rPr>
          <w:rFonts w:ascii="Arial" w:hAnsi="Arial" w:cs="Arial"/>
          <w:sz w:val="20"/>
        </w:rPr>
        <w:t>, T</w:t>
      </w:r>
      <w:r w:rsidR="00F22636" w:rsidRPr="008A2CD3">
        <w:rPr>
          <w:rFonts w:ascii="Arial" w:hAnsi="Arial" w:cs="Arial"/>
          <w:sz w:val="20"/>
        </w:rPr>
        <w:t>echnical Accounting (</w:t>
      </w:r>
      <w:r w:rsidR="00EA15EB" w:rsidRPr="009D7A9F">
        <w:rPr>
          <w:rFonts w:ascii="Arial" w:hAnsi="Arial" w:cs="Arial"/>
          <w:sz w:val="20"/>
        </w:rPr>
        <w:t>D</w:t>
      </w:r>
      <w:r w:rsidR="005011DE" w:rsidRPr="009D7A9F">
        <w:rPr>
          <w:rFonts w:ascii="Arial" w:hAnsi="Arial" w:cs="Arial"/>
          <w:sz w:val="20"/>
        </w:rPr>
        <w:t xml:space="preserve">ir, </w:t>
      </w:r>
      <w:r w:rsidR="00F22636" w:rsidRPr="008A2CD3">
        <w:rPr>
          <w:rFonts w:ascii="Arial" w:hAnsi="Arial" w:cs="Arial"/>
          <w:sz w:val="20"/>
        </w:rPr>
        <w:t>TA)</w:t>
      </w:r>
      <w:r w:rsidRPr="008A2CD3">
        <w:rPr>
          <w:rFonts w:ascii="Arial" w:hAnsi="Arial"/>
          <w:sz w:val="20"/>
        </w:rPr>
        <w:t>.</w:t>
      </w:r>
      <w:r w:rsidRPr="008A2CD3">
        <w:rPr>
          <w:rFonts w:ascii="Arial" w:hAnsi="Arial" w:cs="Arial"/>
          <w:sz w:val="20"/>
        </w:rPr>
        <w:t xml:space="preserve">  The Manual</w:t>
      </w:r>
      <w:r>
        <w:rPr>
          <w:rFonts w:ascii="Arial" w:hAnsi="Arial" w:cs="Arial"/>
          <w:sz w:val="20"/>
        </w:rPr>
        <w:t xml:space="preserve"> will be maintained and is available worldwide on the Company’s BIONET. As the Manual will be regularly updated, BIONET should be consulted for the most up to date version.</w:t>
      </w:r>
    </w:p>
    <w:p w14:paraId="0994A910" w14:textId="21FA404E" w:rsidR="00B2328E" w:rsidRDefault="00B2328E">
      <w:pPr>
        <w:tabs>
          <w:tab w:val="left" w:pos="676"/>
          <w:tab w:val="left" w:pos="1385"/>
          <w:tab w:val="num" w:pos="2160"/>
        </w:tabs>
        <w:jc w:val="both"/>
        <w:rPr>
          <w:rFonts w:ascii="Arial" w:hAnsi="Arial" w:cs="Arial"/>
          <w:sz w:val="20"/>
        </w:rPr>
      </w:pPr>
    </w:p>
    <w:p w14:paraId="22DA9D62" w14:textId="77777777" w:rsidR="00DF7DFD" w:rsidRDefault="00F62BB8">
      <w:pPr>
        <w:pStyle w:val="Heading2"/>
        <w:tabs>
          <w:tab w:val="num" w:pos="1440"/>
        </w:tabs>
        <w:rPr>
          <w:rFonts w:ascii="Century Gothic" w:hAnsi="Century Gothic" w:cs="Arial"/>
          <w:sz w:val="20"/>
        </w:rPr>
      </w:pPr>
      <w:bookmarkStart w:id="11" w:name="_Toc308509427"/>
      <w:r>
        <w:rPr>
          <w:rFonts w:ascii="Century Gothic" w:hAnsi="Century Gothic" w:cs="Arial"/>
          <w:sz w:val="20"/>
        </w:rPr>
        <w:t>Interpretation and Exemptions</w:t>
      </w:r>
      <w:bookmarkEnd w:id="11"/>
    </w:p>
    <w:p w14:paraId="37D4845B" w14:textId="72FD5EE1" w:rsidR="00DF7DFD" w:rsidRDefault="00F62BB8">
      <w:pPr>
        <w:jc w:val="both"/>
        <w:rPr>
          <w:rFonts w:ascii="Arial" w:hAnsi="Arial" w:cs="Arial"/>
          <w:sz w:val="20"/>
        </w:rPr>
      </w:pPr>
      <w:r>
        <w:rPr>
          <w:rFonts w:ascii="Arial" w:hAnsi="Arial" w:cs="Arial"/>
          <w:sz w:val="20"/>
        </w:rPr>
        <w:t xml:space="preserve">Questions on </w:t>
      </w:r>
      <w:r w:rsidRPr="008A2CD3">
        <w:rPr>
          <w:rFonts w:ascii="Arial" w:hAnsi="Arial" w:cs="Arial"/>
          <w:sz w:val="20"/>
        </w:rPr>
        <w:t xml:space="preserve">interpretation, query, exemption or where circumstances dictate differences from this </w:t>
      </w:r>
      <w:proofErr w:type="gramStart"/>
      <w:r w:rsidRPr="008A2CD3">
        <w:rPr>
          <w:rFonts w:ascii="Arial" w:hAnsi="Arial" w:cs="Arial"/>
          <w:sz w:val="20"/>
        </w:rPr>
        <w:t>Manual,</w:t>
      </w:r>
      <w:proofErr w:type="gramEnd"/>
      <w:r w:rsidRPr="008A2CD3">
        <w:rPr>
          <w:rFonts w:ascii="Arial" w:hAnsi="Arial" w:cs="Arial"/>
          <w:sz w:val="20"/>
        </w:rPr>
        <w:t xml:space="preserve"> should be sent to the</w:t>
      </w:r>
      <w:r w:rsidR="00F22636" w:rsidRPr="008A2CD3">
        <w:rPr>
          <w:rFonts w:ascii="Arial" w:hAnsi="Arial" w:cs="Arial"/>
          <w:sz w:val="20"/>
        </w:rPr>
        <w:t xml:space="preserve"> </w:t>
      </w:r>
      <w:r w:rsidR="005011DE" w:rsidRPr="008A2CD3">
        <w:rPr>
          <w:rFonts w:ascii="Arial" w:hAnsi="Arial" w:cs="Arial"/>
          <w:sz w:val="20"/>
        </w:rPr>
        <w:t xml:space="preserve">Dir, </w:t>
      </w:r>
      <w:proofErr w:type="gramStart"/>
      <w:r w:rsidR="005011DE" w:rsidRPr="008A2CD3">
        <w:rPr>
          <w:rFonts w:ascii="Arial" w:hAnsi="Arial" w:cs="Arial"/>
          <w:sz w:val="20"/>
        </w:rPr>
        <w:t>T</w:t>
      </w:r>
      <w:r w:rsidR="00F22636" w:rsidRPr="008A2CD3">
        <w:rPr>
          <w:rFonts w:ascii="Arial" w:hAnsi="Arial" w:cs="Arial"/>
          <w:sz w:val="20"/>
        </w:rPr>
        <w:t>A.</w:t>
      </w:r>
      <w:r w:rsidRPr="008A2CD3">
        <w:rPr>
          <w:rFonts w:ascii="Arial" w:hAnsi="Arial" w:cs="Arial"/>
          <w:sz w:val="20"/>
        </w:rPr>
        <w:t>.</w:t>
      </w:r>
      <w:proofErr w:type="gramEnd"/>
    </w:p>
    <w:p w14:paraId="6EE66309" w14:textId="77777777" w:rsidR="00DF7DFD" w:rsidRDefault="00DF7DFD">
      <w:pPr>
        <w:pStyle w:val="Heading2"/>
        <w:tabs>
          <w:tab w:val="num" w:pos="1440"/>
        </w:tabs>
        <w:spacing w:line="240" w:lineRule="auto"/>
        <w:rPr>
          <w:rFonts w:ascii="Century Gothic" w:hAnsi="Century Gothic" w:cs="Arial"/>
          <w:sz w:val="20"/>
        </w:rPr>
      </w:pPr>
      <w:bookmarkStart w:id="12" w:name="_Toc308509428"/>
    </w:p>
    <w:p w14:paraId="17723128" w14:textId="77777777" w:rsidR="00DF7DFD" w:rsidRDefault="00F62BB8">
      <w:pPr>
        <w:pStyle w:val="Heading2"/>
        <w:tabs>
          <w:tab w:val="num" w:pos="1440"/>
        </w:tabs>
        <w:rPr>
          <w:rFonts w:ascii="Century Gothic" w:hAnsi="Century Gothic" w:cs="Arial"/>
          <w:sz w:val="20"/>
        </w:rPr>
      </w:pPr>
      <w:r>
        <w:rPr>
          <w:rFonts w:ascii="Century Gothic" w:hAnsi="Century Gothic" w:cs="Arial"/>
          <w:sz w:val="20"/>
        </w:rPr>
        <w:t>Confidentiality</w:t>
      </w:r>
      <w:bookmarkEnd w:id="12"/>
    </w:p>
    <w:p w14:paraId="12D479C4" w14:textId="77777777" w:rsidR="00DF7DFD" w:rsidRDefault="00F62BB8">
      <w:pPr>
        <w:jc w:val="both"/>
        <w:rPr>
          <w:rFonts w:ascii="Arial" w:hAnsi="Arial" w:cs="Arial"/>
          <w:sz w:val="20"/>
        </w:rPr>
      </w:pPr>
      <w:r>
        <w:rPr>
          <w:rFonts w:ascii="Arial" w:hAnsi="Arial" w:cs="Arial"/>
          <w:sz w:val="20"/>
        </w:rPr>
        <w:t>This Manual is a confidential document and remains the property of Bioventus and should not be copied or circulated outside the Company. It is intended for internal use only, the sole exception to this rule being the auditors of Bioventus.</w:t>
      </w:r>
    </w:p>
    <w:p w14:paraId="7C500A73" w14:textId="77777777" w:rsidR="00DF7DFD" w:rsidRDefault="00DF7DFD">
      <w:pPr>
        <w:jc w:val="both"/>
        <w:rPr>
          <w:rFonts w:ascii="Arial" w:hAnsi="Arial" w:cs="Arial"/>
          <w:sz w:val="20"/>
        </w:rPr>
      </w:pPr>
    </w:p>
    <w:p w14:paraId="25ADCB1A" w14:textId="13D30B3B" w:rsidR="00DF7DFD" w:rsidRDefault="00F62BB8">
      <w:pPr>
        <w:pStyle w:val="Heading2"/>
        <w:tabs>
          <w:tab w:val="num" w:pos="1440"/>
        </w:tabs>
        <w:rPr>
          <w:rFonts w:ascii="Century Gothic" w:hAnsi="Century Gothic" w:cs="Arial"/>
          <w:sz w:val="20"/>
        </w:rPr>
      </w:pPr>
      <w:bookmarkStart w:id="13" w:name="_Toc308509429"/>
      <w:bookmarkStart w:id="14" w:name="_Toc307993690"/>
      <w:r>
        <w:rPr>
          <w:rFonts w:ascii="Century Gothic" w:hAnsi="Century Gothic" w:cs="Arial"/>
          <w:sz w:val="20"/>
        </w:rPr>
        <w:t xml:space="preserve">Company </w:t>
      </w:r>
      <w:r w:rsidR="002365A1">
        <w:rPr>
          <w:rFonts w:ascii="Century Gothic" w:hAnsi="Century Gothic" w:cs="Arial"/>
          <w:sz w:val="20"/>
        </w:rPr>
        <w:t xml:space="preserve">Formation and </w:t>
      </w:r>
      <w:r>
        <w:rPr>
          <w:rFonts w:ascii="Century Gothic" w:hAnsi="Century Gothic" w:cs="Arial"/>
          <w:sz w:val="20"/>
        </w:rPr>
        <w:t xml:space="preserve">Background </w:t>
      </w:r>
      <w:bookmarkEnd w:id="13"/>
    </w:p>
    <w:bookmarkEnd w:id="14"/>
    <w:p w14:paraId="53507F3E" w14:textId="6EAE13B9" w:rsidR="00FE6ED9" w:rsidRPr="002365A1" w:rsidRDefault="00E66900" w:rsidP="00FE6ED9">
      <w:pPr>
        <w:jc w:val="both"/>
        <w:rPr>
          <w:rFonts w:ascii="Arial" w:hAnsi="Arial" w:cs="Arial"/>
          <w:sz w:val="20"/>
        </w:rPr>
      </w:pPr>
      <w:r>
        <w:rPr>
          <w:rFonts w:ascii="Arial" w:hAnsi="Arial" w:cs="Arial"/>
          <w:sz w:val="20"/>
        </w:rPr>
        <w:t xml:space="preserve">Bioventus </w:t>
      </w:r>
      <w:r w:rsidR="00FC279A">
        <w:rPr>
          <w:rFonts w:ascii="Arial" w:hAnsi="Arial" w:cs="Arial"/>
          <w:sz w:val="20"/>
        </w:rPr>
        <w:t>Inc. was formed as</w:t>
      </w:r>
      <w:r>
        <w:rPr>
          <w:rFonts w:ascii="Arial" w:hAnsi="Arial" w:cs="Arial"/>
          <w:sz w:val="20"/>
        </w:rPr>
        <w:t xml:space="preserve"> a Delaware corporation</w:t>
      </w:r>
      <w:r w:rsidR="00FC279A">
        <w:rPr>
          <w:rFonts w:ascii="Arial" w:hAnsi="Arial" w:cs="Arial"/>
          <w:sz w:val="20"/>
        </w:rPr>
        <w:t xml:space="preserve"> on December 22, 2015, for the purpose of facilitating an initial public offering (IPO) to carry on the business of Bioventus LLC and its subsidiaries (BV LLC). </w:t>
      </w:r>
      <w:r w:rsidR="00FE6ED9" w:rsidRPr="009D7A9F">
        <w:rPr>
          <w:rFonts w:ascii="Arial" w:eastAsia="TimesNewRomanPSMT" w:hAnsi="Arial" w:cs="Arial"/>
          <w:sz w:val="20"/>
        </w:rPr>
        <w:t xml:space="preserve">Bioventus Inc. functions as a holding company with no direct operations, material assets or liabilities other than the equity interest in BV LLC.  </w:t>
      </w:r>
      <w:r w:rsidR="00F62BB8" w:rsidRPr="002365A1">
        <w:rPr>
          <w:rFonts w:ascii="Arial" w:hAnsi="Arial" w:cs="Arial"/>
          <w:sz w:val="20"/>
        </w:rPr>
        <w:t>B</w:t>
      </w:r>
      <w:r w:rsidR="00FC279A" w:rsidRPr="002365A1">
        <w:rPr>
          <w:rFonts w:ascii="Arial" w:hAnsi="Arial" w:cs="Arial"/>
          <w:sz w:val="20"/>
        </w:rPr>
        <w:t>V</w:t>
      </w:r>
      <w:r w:rsidR="00DC3B58" w:rsidRPr="002365A1">
        <w:rPr>
          <w:rFonts w:ascii="Arial" w:hAnsi="Arial" w:cs="Arial"/>
          <w:sz w:val="20"/>
        </w:rPr>
        <w:t xml:space="preserve"> LLC,</w:t>
      </w:r>
      <w:r w:rsidR="00F62BB8" w:rsidRPr="002365A1">
        <w:rPr>
          <w:rFonts w:ascii="Arial" w:hAnsi="Arial" w:cs="Arial"/>
          <w:sz w:val="20"/>
        </w:rPr>
        <w:t xml:space="preserve"> </w:t>
      </w:r>
      <w:r w:rsidR="00FE6ED9" w:rsidRPr="009D7A9F">
        <w:rPr>
          <w:rFonts w:ascii="Arial" w:eastAsia="TimesNewRomanPSMT" w:hAnsi="Arial" w:cs="Arial"/>
          <w:sz w:val="20"/>
        </w:rPr>
        <w:t>formerly a spin off from Smith &amp; Nephew’s biologic and clinical therapies division, is</w:t>
      </w:r>
      <w:r w:rsidR="00FE6ED9" w:rsidRPr="002365A1">
        <w:rPr>
          <w:rFonts w:ascii="Arial" w:hAnsi="Arial" w:cs="Arial"/>
          <w:sz w:val="20"/>
        </w:rPr>
        <w:t xml:space="preserve"> </w:t>
      </w:r>
      <w:r w:rsidR="00F62BB8" w:rsidRPr="002365A1">
        <w:rPr>
          <w:rFonts w:ascii="Arial" w:hAnsi="Arial" w:cs="Arial"/>
          <w:sz w:val="20"/>
        </w:rPr>
        <w:t xml:space="preserve">a limited liability company </w:t>
      </w:r>
      <w:r w:rsidR="002365A1">
        <w:rPr>
          <w:rFonts w:ascii="Arial" w:hAnsi="Arial" w:cs="Arial"/>
          <w:sz w:val="20"/>
        </w:rPr>
        <w:t xml:space="preserve">that </w:t>
      </w:r>
      <w:r w:rsidR="00FC279A" w:rsidRPr="002365A1">
        <w:rPr>
          <w:rFonts w:ascii="Arial" w:hAnsi="Arial" w:cs="Arial"/>
          <w:sz w:val="20"/>
        </w:rPr>
        <w:t xml:space="preserve">was </w:t>
      </w:r>
      <w:r w:rsidR="00F62BB8" w:rsidRPr="002365A1">
        <w:rPr>
          <w:rFonts w:ascii="Arial" w:hAnsi="Arial" w:cs="Arial"/>
          <w:sz w:val="20"/>
        </w:rPr>
        <w:t>formed under the laws of the state of Delaware on November 23, 2011</w:t>
      </w:r>
      <w:r w:rsidR="00FC279A" w:rsidRPr="002365A1">
        <w:rPr>
          <w:rFonts w:ascii="Arial" w:hAnsi="Arial" w:cs="Arial"/>
          <w:sz w:val="20"/>
        </w:rPr>
        <w:t>,</w:t>
      </w:r>
      <w:r w:rsidR="00F62BB8" w:rsidRPr="002365A1">
        <w:rPr>
          <w:rFonts w:ascii="Arial" w:hAnsi="Arial" w:cs="Arial"/>
          <w:sz w:val="20"/>
        </w:rPr>
        <w:t xml:space="preserve"> and operates as a partnership. </w:t>
      </w:r>
      <w:r w:rsidR="00FC279A" w:rsidRPr="002365A1">
        <w:rPr>
          <w:rFonts w:ascii="Arial" w:hAnsi="Arial" w:cs="Arial"/>
          <w:sz w:val="20"/>
        </w:rPr>
        <w:t>BV LLC commen</w:t>
      </w:r>
      <w:r w:rsidR="00FE6ED9" w:rsidRPr="002365A1">
        <w:rPr>
          <w:rFonts w:ascii="Arial" w:hAnsi="Arial" w:cs="Arial"/>
          <w:sz w:val="20"/>
        </w:rPr>
        <w:t>c</w:t>
      </w:r>
      <w:r w:rsidR="00FC279A" w:rsidRPr="002365A1">
        <w:rPr>
          <w:rFonts w:ascii="Arial" w:hAnsi="Arial" w:cs="Arial"/>
          <w:sz w:val="20"/>
        </w:rPr>
        <w:t>ed operations o</w:t>
      </w:r>
      <w:r w:rsidR="00F62BB8" w:rsidRPr="002365A1">
        <w:rPr>
          <w:rFonts w:ascii="Arial" w:hAnsi="Arial" w:cs="Arial"/>
          <w:sz w:val="20"/>
        </w:rPr>
        <w:t>n May 4, 2012</w:t>
      </w:r>
      <w:r w:rsidR="00FC279A" w:rsidRPr="002365A1">
        <w:rPr>
          <w:rFonts w:ascii="Arial" w:hAnsi="Arial" w:cs="Arial"/>
          <w:sz w:val="20"/>
        </w:rPr>
        <w:t xml:space="preserve">. </w:t>
      </w:r>
      <w:r w:rsidR="00FE6ED9" w:rsidRPr="002365A1">
        <w:rPr>
          <w:rFonts w:ascii="Arial" w:hAnsi="Arial" w:cs="Arial"/>
          <w:sz w:val="20"/>
        </w:rPr>
        <w:t xml:space="preserve">The Company is </w:t>
      </w:r>
      <w:proofErr w:type="gramStart"/>
      <w:r w:rsidR="00FE6ED9" w:rsidRPr="002365A1">
        <w:rPr>
          <w:rFonts w:ascii="Arial" w:hAnsi="Arial" w:cs="Arial"/>
          <w:sz w:val="20"/>
        </w:rPr>
        <w:t>headquartered</w:t>
      </w:r>
      <w:proofErr w:type="gramEnd"/>
      <w:r w:rsidR="00FE6ED9" w:rsidRPr="002365A1">
        <w:rPr>
          <w:rFonts w:ascii="Arial" w:hAnsi="Arial" w:cs="Arial"/>
          <w:sz w:val="20"/>
        </w:rPr>
        <w:t xml:space="preserve"> in Durham, North Carolina, USA.</w:t>
      </w:r>
    </w:p>
    <w:p w14:paraId="48253F84" w14:textId="522E52E7" w:rsidR="00191E14" w:rsidRPr="002365A1" w:rsidRDefault="00191E14">
      <w:pPr>
        <w:jc w:val="both"/>
        <w:rPr>
          <w:rFonts w:ascii="Arial" w:hAnsi="Arial" w:cs="Arial"/>
          <w:sz w:val="20"/>
        </w:rPr>
      </w:pPr>
    </w:p>
    <w:p w14:paraId="51BC4F9B" w14:textId="27379AF1" w:rsidR="00191E14" w:rsidRPr="009D7A9F" w:rsidRDefault="00DC3B58" w:rsidP="009D7A9F">
      <w:pPr>
        <w:autoSpaceDE w:val="0"/>
        <w:autoSpaceDN w:val="0"/>
        <w:adjustRightInd w:val="0"/>
        <w:rPr>
          <w:rFonts w:ascii="Arial" w:eastAsia="TimesNewRomanPSMT" w:hAnsi="Arial" w:cs="Arial"/>
          <w:sz w:val="20"/>
        </w:rPr>
      </w:pPr>
      <w:r w:rsidRPr="002365A1">
        <w:rPr>
          <w:rFonts w:ascii="Arial" w:hAnsi="Arial" w:cs="Arial"/>
          <w:sz w:val="20"/>
        </w:rPr>
        <w:t>On February 16, 2021, Bioventus completed an initial public offering and is listed on NASDAQ under the trading symbol “BVS”.</w:t>
      </w:r>
      <w:r w:rsidR="00FC279A" w:rsidRPr="002365A1">
        <w:rPr>
          <w:rFonts w:ascii="Arial" w:hAnsi="Arial" w:cs="Arial"/>
          <w:sz w:val="20"/>
        </w:rPr>
        <w:t xml:space="preserve"> </w:t>
      </w:r>
      <w:r w:rsidR="00FE6ED9" w:rsidRPr="009D7A9F">
        <w:rPr>
          <w:rFonts w:ascii="Arial" w:eastAsia="TimesNewRomanPSMT" w:hAnsi="Arial" w:cs="Arial"/>
          <w:sz w:val="20"/>
        </w:rPr>
        <w:t xml:space="preserve">The </w:t>
      </w:r>
      <w:r w:rsidR="00191E14" w:rsidRPr="009D7A9F">
        <w:rPr>
          <w:rFonts w:ascii="Arial" w:eastAsia="TimesNewRomanPSMT" w:hAnsi="Arial" w:cs="Arial"/>
          <w:sz w:val="20"/>
        </w:rPr>
        <w:t>IPO</w:t>
      </w:r>
      <w:r w:rsidR="00707343" w:rsidRPr="009D7A9F">
        <w:rPr>
          <w:rFonts w:ascii="Arial" w:eastAsia="TimesNewRomanPSMT" w:hAnsi="Arial" w:cs="Arial"/>
          <w:sz w:val="20"/>
        </w:rPr>
        <w:t xml:space="preserve"> </w:t>
      </w:r>
      <w:r w:rsidR="00191E14" w:rsidRPr="009D7A9F">
        <w:rPr>
          <w:rFonts w:ascii="Arial" w:eastAsia="TimesNewRomanPSMT" w:hAnsi="Arial" w:cs="Arial"/>
          <w:sz w:val="20"/>
        </w:rPr>
        <w:t>was conducted through what is commonly referred to as an umbrella partnership C corporation (</w:t>
      </w:r>
      <w:r w:rsidR="00707343" w:rsidRPr="009D7A9F">
        <w:rPr>
          <w:rFonts w:ascii="Arial" w:eastAsia="TimesNewRomanPSMT" w:hAnsi="Arial" w:cs="Arial"/>
          <w:sz w:val="20"/>
        </w:rPr>
        <w:t>U</w:t>
      </w:r>
      <w:r w:rsidR="00191E14" w:rsidRPr="009D7A9F">
        <w:rPr>
          <w:rFonts w:ascii="Arial" w:eastAsia="TimesNewRomanPSMT" w:hAnsi="Arial" w:cs="Arial"/>
          <w:sz w:val="20"/>
        </w:rPr>
        <w:t>P-C) structure.</w:t>
      </w:r>
      <w:r w:rsidR="00FE6ED9" w:rsidRPr="009D7A9F">
        <w:rPr>
          <w:rFonts w:ascii="Arial" w:eastAsia="TimesNewRomanPSMT" w:hAnsi="Arial" w:cs="Arial"/>
          <w:sz w:val="20"/>
        </w:rPr>
        <w:t xml:space="preserve"> </w:t>
      </w:r>
      <w:r w:rsidR="00707343" w:rsidRPr="009D7A9F">
        <w:rPr>
          <w:rFonts w:ascii="Arial" w:eastAsia="TimesNewRomanPSMT" w:hAnsi="Arial" w:cs="Arial"/>
          <w:sz w:val="20"/>
        </w:rPr>
        <w:t>Bioventus Inc has</w:t>
      </w:r>
      <w:r w:rsidR="00191E14" w:rsidRPr="009D7A9F">
        <w:rPr>
          <w:rFonts w:ascii="Arial" w:eastAsia="TimesNewRomanPSMT" w:hAnsi="Arial" w:cs="Arial"/>
          <w:sz w:val="20"/>
        </w:rPr>
        <w:t xml:space="preserve"> a majority economic interest, the sole voting interest in, and control</w:t>
      </w:r>
      <w:r w:rsidR="00707343" w:rsidRPr="009D7A9F">
        <w:rPr>
          <w:rFonts w:ascii="Arial" w:eastAsia="TimesNewRomanPSMT" w:hAnsi="Arial" w:cs="Arial"/>
          <w:sz w:val="20"/>
        </w:rPr>
        <w:t>s</w:t>
      </w:r>
      <w:r w:rsidR="00191E14" w:rsidRPr="009D7A9F">
        <w:rPr>
          <w:rFonts w:ascii="Arial" w:eastAsia="TimesNewRomanPSMT" w:hAnsi="Arial" w:cs="Arial"/>
          <w:sz w:val="20"/>
        </w:rPr>
        <w:t xml:space="preserve"> the management of, BV LLC. As a result, </w:t>
      </w:r>
      <w:r w:rsidR="00707343" w:rsidRPr="009D7A9F">
        <w:rPr>
          <w:rFonts w:ascii="Arial" w:eastAsia="TimesNewRomanPSMT" w:hAnsi="Arial" w:cs="Arial"/>
          <w:sz w:val="20"/>
        </w:rPr>
        <w:t xml:space="preserve">Bioventus, Inc. </w:t>
      </w:r>
      <w:r w:rsidR="00191E14" w:rsidRPr="009D7A9F">
        <w:rPr>
          <w:rFonts w:ascii="Arial" w:eastAsia="TimesNewRomanPSMT" w:hAnsi="Arial" w:cs="Arial"/>
          <w:sz w:val="20"/>
        </w:rPr>
        <w:t>consolidate</w:t>
      </w:r>
      <w:r w:rsidR="00707343" w:rsidRPr="009D7A9F">
        <w:rPr>
          <w:rFonts w:ascii="Arial" w:eastAsia="TimesNewRomanPSMT" w:hAnsi="Arial" w:cs="Arial"/>
          <w:sz w:val="20"/>
        </w:rPr>
        <w:t>s</w:t>
      </w:r>
      <w:r w:rsidR="00191E14" w:rsidRPr="009D7A9F">
        <w:rPr>
          <w:rFonts w:ascii="Arial" w:eastAsia="TimesNewRomanPSMT" w:hAnsi="Arial" w:cs="Arial"/>
          <w:sz w:val="20"/>
        </w:rPr>
        <w:t xml:space="preserve"> the financial results</w:t>
      </w:r>
      <w:r w:rsidR="00707343" w:rsidRPr="009D7A9F">
        <w:rPr>
          <w:rFonts w:ascii="Arial" w:eastAsia="TimesNewRomanPSMT" w:hAnsi="Arial" w:cs="Arial"/>
          <w:sz w:val="20"/>
        </w:rPr>
        <w:t xml:space="preserve"> </w:t>
      </w:r>
      <w:r w:rsidR="00191E14" w:rsidRPr="009D7A9F">
        <w:rPr>
          <w:rFonts w:ascii="Arial" w:eastAsia="TimesNewRomanPSMT" w:hAnsi="Arial" w:cs="Arial"/>
          <w:sz w:val="20"/>
        </w:rPr>
        <w:t>of BV LLC and reports a non-controlling interest representing the LLC Interests held by Smith &amp; Nephew, Inc.</w:t>
      </w:r>
    </w:p>
    <w:p w14:paraId="6F16EADD" w14:textId="77777777" w:rsidR="00707343" w:rsidRPr="009D7A9F" w:rsidRDefault="00707343" w:rsidP="00191E14">
      <w:pPr>
        <w:rPr>
          <w:rFonts w:ascii="Arial" w:eastAsia="TimesNewRomanPSMT" w:hAnsi="Arial" w:cs="Arial"/>
          <w:sz w:val="20"/>
        </w:rPr>
      </w:pPr>
    </w:p>
    <w:p w14:paraId="532E8765" w14:textId="42A3B9F7" w:rsidR="00707343" w:rsidRPr="009D7A9F" w:rsidRDefault="00707343" w:rsidP="00707343">
      <w:pPr>
        <w:autoSpaceDE w:val="0"/>
        <w:autoSpaceDN w:val="0"/>
        <w:adjustRightInd w:val="0"/>
        <w:rPr>
          <w:rFonts w:ascii="Arial" w:eastAsia="TimesNewRomanPSMT" w:hAnsi="Arial" w:cs="Arial"/>
          <w:sz w:val="20"/>
        </w:rPr>
      </w:pPr>
      <w:r w:rsidRPr="009D7A9F">
        <w:rPr>
          <w:rFonts w:ascii="Arial" w:eastAsia="TimesNewRomanPSMT" w:hAnsi="Arial" w:cs="Arial"/>
          <w:sz w:val="20"/>
        </w:rPr>
        <w:t xml:space="preserve">On March 30, 2021, the Company acquired 100% of the capital stock of </w:t>
      </w:r>
      <w:proofErr w:type="spellStart"/>
      <w:proofErr w:type="gramStart"/>
      <w:r w:rsidRPr="009D7A9F">
        <w:rPr>
          <w:rFonts w:ascii="Arial" w:eastAsia="TimesNewRomanPSMT" w:hAnsi="Arial" w:cs="Arial"/>
          <w:sz w:val="20"/>
        </w:rPr>
        <w:t>Bioness</w:t>
      </w:r>
      <w:proofErr w:type="spellEnd"/>
      <w:r w:rsidRPr="009D7A9F">
        <w:rPr>
          <w:rFonts w:ascii="Arial" w:eastAsia="TimesNewRomanPSMT" w:hAnsi="Arial" w:cs="Arial"/>
          <w:sz w:val="20"/>
        </w:rPr>
        <w:t>,</w:t>
      </w:r>
      <w:proofErr w:type="gramEnd"/>
      <w:r w:rsidRPr="009D7A9F">
        <w:rPr>
          <w:rFonts w:ascii="Arial" w:eastAsia="TimesNewRomanPSMT" w:hAnsi="Arial" w:cs="Arial"/>
          <w:sz w:val="20"/>
        </w:rPr>
        <w:t xml:space="preserve"> Inc. (</w:t>
      </w:r>
      <w:proofErr w:type="spellStart"/>
      <w:r w:rsidRPr="009D7A9F">
        <w:rPr>
          <w:rFonts w:ascii="Arial" w:eastAsia="TimesNewRomanPSMT" w:hAnsi="Arial" w:cs="Arial"/>
          <w:sz w:val="20"/>
        </w:rPr>
        <w:t>Bioness</w:t>
      </w:r>
      <w:proofErr w:type="spellEnd"/>
      <w:r w:rsidRPr="009D7A9F">
        <w:rPr>
          <w:rFonts w:ascii="Arial" w:eastAsia="TimesNewRomanPSMT" w:hAnsi="Arial" w:cs="Arial"/>
          <w:sz w:val="20"/>
        </w:rPr>
        <w:t>)</w:t>
      </w:r>
      <w:r w:rsidR="00FE6ED9" w:rsidRPr="009D7A9F">
        <w:rPr>
          <w:rFonts w:ascii="Arial" w:eastAsia="TimesNewRomanPSMT" w:hAnsi="Arial" w:cs="Arial"/>
          <w:sz w:val="20"/>
        </w:rPr>
        <w:t xml:space="preserve"> for cash and future contingent </w:t>
      </w:r>
      <w:r w:rsidR="002365A1" w:rsidRPr="002365A1">
        <w:rPr>
          <w:rFonts w:ascii="Arial" w:eastAsia="TimesNewRomanPSMT" w:hAnsi="Arial" w:cs="Arial"/>
          <w:sz w:val="20"/>
        </w:rPr>
        <w:t>payments.</w:t>
      </w:r>
      <w:r w:rsidRPr="009D7A9F">
        <w:rPr>
          <w:rFonts w:ascii="Arial" w:eastAsia="TimesNewRomanPSMT" w:hAnsi="Arial" w:cs="Arial"/>
          <w:sz w:val="20"/>
        </w:rPr>
        <w:t xml:space="preserve"> </w:t>
      </w:r>
      <w:proofErr w:type="spellStart"/>
      <w:r w:rsidRPr="009D7A9F">
        <w:rPr>
          <w:rFonts w:ascii="Arial" w:eastAsia="TimesNewRomanPSMT" w:hAnsi="Arial" w:cs="Arial"/>
          <w:sz w:val="20"/>
        </w:rPr>
        <w:t>Bioness</w:t>
      </w:r>
      <w:proofErr w:type="spellEnd"/>
      <w:r w:rsidRPr="009D7A9F">
        <w:rPr>
          <w:rFonts w:ascii="Arial" w:eastAsia="TimesNewRomanPSMT" w:hAnsi="Arial" w:cs="Arial"/>
          <w:sz w:val="20"/>
        </w:rPr>
        <w:t xml:space="preserve"> is a global leader in neuromodulation and advanced rehabilitation medical devices through its innovative peripheral nerve stimulation therapy and premium advanced rehabilitation solutions.</w:t>
      </w:r>
    </w:p>
    <w:p w14:paraId="447B7486" w14:textId="77777777" w:rsidR="00707343" w:rsidRPr="009D7A9F" w:rsidRDefault="00707343" w:rsidP="00707343">
      <w:pPr>
        <w:autoSpaceDE w:val="0"/>
        <w:autoSpaceDN w:val="0"/>
        <w:adjustRightInd w:val="0"/>
        <w:rPr>
          <w:rFonts w:ascii="Arial" w:eastAsia="TimesNewRomanPSMT" w:hAnsi="Arial" w:cs="Arial"/>
          <w:sz w:val="20"/>
        </w:rPr>
      </w:pPr>
    </w:p>
    <w:p w14:paraId="2E5E3B9C" w14:textId="1E220CA7" w:rsidR="00707343" w:rsidRPr="009D7A9F" w:rsidRDefault="00707343" w:rsidP="00FE6ED9">
      <w:pPr>
        <w:autoSpaceDE w:val="0"/>
        <w:autoSpaceDN w:val="0"/>
        <w:adjustRightInd w:val="0"/>
        <w:rPr>
          <w:rFonts w:ascii="Arial" w:eastAsia="TimesNewRomanPSMT" w:hAnsi="Arial" w:cs="Arial"/>
          <w:sz w:val="20"/>
        </w:rPr>
      </w:pPr>
      <w:r w:rsidRPr="009D7A9F">
        <w:rPr>
          <w:rFonts w:ascii="Arial" w:eastAsia="TimesNewRomanPSMT" w:hAnsi="Arial" w:cs="Arial"/>
          <w:sz w:val="20"/>
        </w:rPr>
        <w:t xml:space="preserve">On October 29, 2021, </w:t>
      </w:r>
      <w:proofErr w:type="gramStart"/>
      <w:r w:rsidRPr="009D7A9F">
        <w:rPr>
          <w:rFonts w:ascii="Arial" w:eastAsia="TimesNewRomanPSMT" w:hAnsi="Arial" w:cs="Arial"/>
          <w:sz w:val="20"/>
        </w:rPr>
        <w:t>in order to</w:t>
      </w:r>
      <w:proofErr w:type="gramEnd"/>
      <w:r w:rsidRPr="009D7A9F">
        <w:rPr>
          <w:rFonts w:ascii="Arial" w:eastAsia="TimesNewRomanPSMT" w:hAnsi="Arial" w:cs="Arial"/>
          <w:sz w:val="20"/>
        </w:rPr>
        <w:t xml:space="preserve"> broaden its portfolio, the Company acquired 100% of the capital stock of </w:t>
      </w:r>
      <w:proofErr w:type="spellStart"/>
      <w:r w:rsidRPr="009D7A9F">
        <w:rPr>
          <w:rFonts w:ascii="Arial" w:eastAsia="TimesNewRomanPSMT" w:hAnsi="Arial" w:cs="Arial"/>
          <w:sz w:val="20"/>
        </w:rPr>
        <w:t>Misonix</w:t>
      </w:r>
      <w:proofErr w:type="spellEnd"/>
      <w:r w:rsidRPr="009D7A9F">
        <w:rPr>
          <w:rFonts w:ascii="Arial" w:eastAsia="TimesNewRomanPSMT" w:hAnsi="Arial" w:cs="Arial"/>
          <w:sz w:val="20"/>
        </w:rPr>
        <w:t>, Inc. (</w:t>
      </w:r>
      <w:proofErr w:type="spellStart"/>
      <w:r w:rsidR="00FE6ED9" w:rsidRPr="009D7A9F">
        <w:rPr>
          <w:rFonts w:ascii="Arial" w:eastAsia="TimesNewRomanPSMT" w:hAnsi="Arial" w:cs="Arial"/>
          <w:sz w:val="20"/>
        </w:rPr>
        <w:t>Misonix</w:t>
      </w:r>
      <w:proofErr w:type="spellEnd"/>
      <w:r w:rsidR="00FE6ED9" w:rsidRPr="009D7A9F">
        <w:rPr>
          <w:rFonts w:ascii="Arial" w:eastAsia="TimesNewRomanPSMT" w:hAnsi="Arial" w:cs="Arial"/>
          <w:sz w:val="20"/>
        </w:rPr>
        <w:t xml:space="preserve">) </w:t>
      </w:r>
      <w:r w:rsidRPr="009D7A9F">
        <w:rPr>
          <w:rFonts w:ascii="Arial" w:eastAsia="TimesNewRomanPSMT" w:hAnsi="Arial" w:cs="Arial"/>
          <w:sz w:val="20"/>
        </w:rPr>
        <w:t xml:space="preserve">in a cash-and-stock transaction. </w:t>
      </w:r>
      <w:proofErr w:type="spellStart"/>
      <w:r w:rsidRPr="009D7A9F">
        <w:rPr>
          <w:rFonts w:ascii="Arial" w:eastAsia="TimesNewRomanPSMT" w:hAnsi="Arial" w:cs="Arial"/>
          <w:sz w:val="20"/>
        </w:rPr>
        <w:t>Misonix</w:t>
      </w:r>
      <w:proofErr w:type="spellEnd"/>
      <w:r w:rsidRPr="009D7A9F">
        <w:rPr>
          <w:rFonts w:ascii="Arial" w:eastAsia="TimesNewRomanPSMT" w:hAnsi="Arial" w:cs="Arial"/>
          <w:sz w:val="20"/>
        </w:rPr>
        <w:t xml:space="preserve"> manufactures minimally invasive surgical ultrasonic medical devices used for precise bone sculpting,</w:t>
      </w:r>
      <w:r w:rsidR="00FE6ED9" w:rsidRPr="009D7A9F">
        <w:rPr>
          <w:rFonts w:ascii="Arial" w:eastAsia="TimesNewRomanPSMT" w:hAnsi="Arial" w:cs="Arial"/>
          <w:sz w:val="20"/>
        </w:rPr>
        <w:t xml:space="preserve"> </w:t>
      </w:r>
      <w:r w:rsidRPr="009D7A9F">
        <w:rPr>
          <w:rFonts w:ascii="Arial" w:eastAsia="TimesNewRomanPSMT" w:hAnsi="Arial" w:cs="Arial"/>
          <w:sz w:val="20"/>
        </w:rPr>
        <w:t>removal of soft and hard tumors and tissue debridement, primarily in the areas of neurosurgery, orthopedic surgery, plastic surgery, wound care and maxillofacial</w:t>
      </w:r>
      <w:r w:rsidR="00FE6ED9" w:rsidRPr="009D7A9F">
        <w:rPr>
          <w:rFonts w:ascii="Arial" w:eastAsia="TimesNewRomanPSMT" w:hAnsi="Arial" w:cs="Arial"/>
          <w:sz w:val="20"/>
        </w:rPr>
        <w:t xml:space="preserve"> </w:t>
      </w:r>
      <w:r w:rsidRPr="009D7A9F">
        <w:rPr>
          <w:rFonts w:ascii="Arial" w:eastAsia="TimesNewRomanPSMT" w:hAnsi="Arial" w:cs="Arial"/>
          <w:sz w:val="20"/>
        </w:rPr>
        <w:t xml:space="preserve">surgery. </w:t>
      </w:r>
      <w:proofErr w:type="spellStart"/>
      <w:r w:rsidRPr="009D7A9F">
        <w:rPr>
          <w:rFonts w:ascii="Arial" w:eastAsia="TimesNewRomanPSMT" w:hAnsi="Arial" w:cs="Arial"/>
          <w:sz w:val="20"/>
        </w:rPr>
        <w:t>Misonix</w:t>
      </w:r>
      <w:proofErr w:type="spellEnd"/>
      <w:r w:rsidR="00FE6ED9" w:rsidRPr="009D7A9F">
        <w:rPr>
          <w:rFonts w:ascii="Arial" w:eastAsia="TimesNewRomanPSMT" w:hAnsi="Arial" w:cs="Arial"/>
          <w:sz w:val="20"/>
        </w:rPr>
        <w:t xml:space="preserve"> also exclusively distributes skin allografts and wound care products used to support healing of wounds.</w:t>
      </w:r>
    </w:p>
    <w:p w14:paraId="4AA7339C" w14:textId="77777777" w:rsidR="00EB5A4D" w:rsidRPr="009D7A9F" w:rsidRDefault="00EB5A4D" w:rsidP="00FE6ED9">
      <w:pPr>
        <w:autoSpaceDE w:val="0"/>
        <w:autoSpaceDN w:val="0"/>
        <w:adjustRightInd w:val="0"/>
        <w:rPr>
          <w:rFonts w:ascii="Arial" w:eastAsia="TimesNewRomanPSMT" w:hAnsi="Arial" w:cs="Arial"/>
          <w:sz w:val="20"/>
        </w:rPr>
      </w:pPr>
    </w:p>
    <w:p w14:paraId="711EA3EB" w14:textId="5983555F" w:rsidR="00EB5A4D" w:rsidRDefault="00EB5A4D" w:rsidP="00FE6ED9">
      <w:pPr>
        <w:autoSpaceDE w:val="0"/>
        <w:autoSpaceDN w:val="0"/>
        <w:adjustRightInd w:val="0"/>
        <w:rPr>
          <w:rFonts w:ascii="Arial" w:hAnsi="Arial" w:cs="Arial"/>
          <w:sz w:val="20"/>
        </w:rPr>
      </w:pPr>
      <w:r w:rsidRPr="009D7A9F">
        <w:rPr>
          <w:rFonts w:ascii="Arial" w:hAnsi="Arial" w:cs="Arial"/>
          <w:sz w:val="20"/>
        </w:rPr>
        <w:t xml:space="preserve">On May 22, 2023, the Company sold certain assets within its Wound business, including the </w:t>
      </w:r>
      <w:proofErr w:type="spellStart"/>
      <w:r w:rsidRPr="009D7A9F">
        <w:rPr>
          <w:rFonts w:ascii="Arial" w:hAnsi="Arial" w:cs="Arial"/>
          <w:sz w:val="20"/>
        </w:rPr>
        <w:t>TheraSkin</w:t>
      </w:r>
      <w:proofErr w:type="spellEnd"/>
      <w:r w:rsidRPr="009D7A9F">
        <w:rPr>
          <w:rFonts w:ascii="Arial" w:hAnsi="Arial" w:cs="Arial"/>
          <w:sz w:val="20"/>
        </w:rPr>
        <w:t xml:space="preserve"> and </w:t>
      </w:r>
      <w:proofErr w:type="spellStart"/>
      <w:r w:rsidRPr="009D7A9F">
        <w:rPr>
          <w:rFonts w:ascii="Arial" w:hAnsi="Arial" w:cs="Arial"/>
          <w:sz w:val="20"/>
        </w:rPr>
        <w:t>TheraGenesis</w:t>
      </w:r>
      <w:proofErr w:type="spellEnd"/>
      <w:r w:rsidRPr="009D7A9F">
        <w:rPr>
          <w:rFonts w:ascii="Arial" w:hAnsi="Arial" w:cs="Arial"/>
          <w:sz w:val="20"/>
        </w:rPr>
        <w:t xml:space="preserve"> products. The Wound business was purchased as part of the </w:t>
      </w:r>
      <w:proofErr w:type="spellStart"/>
      <w:r w:rsidRPr="009D7A9F">
        <w:rPr>
          <w:rFonts w:ascii="Arial" w:hAnsi="Arial" w:cs="Arial"/>
          <w:sz w:val="20"/>
        </w:rPr>
        <w:t>Misonix</w:t>
      </w:r>
      <w:proofErr w:type="spellEnd"/>
      <w:r w:rsidRPr="009D7A9F">
        <w:rPr>
          <w:rFonts w:ascii="Arial" w:hAnsi="Arial" w:cs="Arial"/>
          <w:sz w:val="20"/>
        </w:rPr>
        <w:t xml:space="preserve"> acquisition in October 2021.</w:t>
      </w:r>
    </w:p>
    <w:p w14:paraId="06A0B0A7" w14:textId="77777777" w:rsidR="00CE222A" w:rsidRDefault="00CE222A" w:rsidP="00FE6ED9">
      <w:pPr>
        <w:autoSpaceDE w:val="0"/>
        <w:autoSpaceDN w:val="0"/>
        <w:adjustRightInd w:val="0"/>
        <w:rPr>
          <w:rFonts w:ascii="Arial" w:hAnsi="Arial" w:cs="Arial"/>
          <w:sz w:val="20"/>
        </w:rPr>
      </w:pPr>
    </w:p>
    <w:p w14:paraId="3566772B" w14:textId="76C02532" w:rsidR="00CE222A" w:rsidRPr="002365A1" w:rsidRDefault="00CE222A" w:rsidP="00FE6ED9">
      <w:pPr>
        <w:autoSpaceDE w:val="0"/>
        <w:autoSpaceDN w:val="0"/>
        <w:adjustRightInd w:val="0"/>
        <w:rPr>
          <w:rFonts w:ascii="Arial" w:hAnsi="Arial" w:cs="Arial"/>
          <w:sz w:val="20"/>
        </w:rPr>
      </w:pPr>
      <w:r>
        <w:rPr>
          <w:rFonts w:ascii="Arial" w:hAnsi="Arial" w:cs="Arial"/>
          <w:sz w:val="20"/>
        </w:rPr>
        <w:t xml:space="preserve">On December 31, 2024, the Company sold </w:t>
      </w:r>
      <w:r w:rsidR="00C44E09">
        <w:rPr>
          <w:rFonts w:ascii="Arial" w:hAnsi="Arial" w:cs="Arial"/>
          <w:sz w:val="20"/>
        </w:rPr>
        <w:t xml:space="preserve">its </w:t>
      </w:r>
      <w:proofErr w:type="spellStart"/>
      <w:r w:rsidR="00C44E09">
        <w:rPr>
          <w:rFonts w:ascii="Arial" w:hAnsi="Arial" w:cs="Arial"/>
          <w:sz w:val="20"/>
        </w:rPr>
        <w:t>Bioness</w:t>
      </w:r>
      <w:proofErr w:type="spellEnd"/>
      <w:r w:rsidR="00C44E09">
        <w:rPr>
          <w:rFonts w:ascii="Arial" w:hAnsi="Arial" w:cs="Arial"/>
          <w:sz w:val="20"/>
        </w:rPr>
        <w:t xml:space="preserve"> Neuromodulation Ltd</w:t>
      </w:r>
      <w:r w:rsidR="004678AB">
        <w:rPr>
          <w:rFonts w:ascii="Arial" w:hAnsi="Arial" w:cs="Arial"/>
          <w:sz w:val="20"/>
        </w:rPr>
        <w:t xml:space="preserve">, a subsidiary of </w:t>
      </w:r>
      <w:proofErr w:type="spellStart"/>
      <w:r w:rsidR="004678AB">
        <w:rPr>
          <w:rFonts w:ascii="Arial" w:hAnsi="Arial" w:cs="Arial"/>
          <w:sz w:val="20"/>
        </w:rPr>
        <w:t>Bioness</w:t>
      </w:r>
      <w:proofErr w:type="spellEnd"/>
      <w:r w:rsidR="004678AB">
        <w:rPr>
          <w:rFonts w:ascii="Arial" w:hAnsi="Arial" w:cs="Arial"/>
          <w:sz w:val="20"/>
        </w:rPr>
        <w:t xml:space="preserve">, that contained the Company’s Rehab </w:t>
      </w:r>
      <w:r w:rsidR="00433946">
        <w:rPr>
          <w:rFonts w:ascii="Arial" w:hAnsi="Arial" w:cs="Arial"/>
          <w:sz w:val="20"/>
        </w:rPr>
        <w:t>business</w:t>
      </w:r>
      <w:r>
        <w:rPr>
          <w:rFonts w:ascii="Arial" w:hAnsi="Arial" w:cs="Arial"/>
          <w:sz w:val="20"/>
        </w:rPr>
        <w:t>.</w:t>
      </w:r>
    </w:p>
    <w:p w14:paraId="51B827F5" w14:textId="77777777" w:rsidR="003D2116" w:rsidRDefault="003D2116" w:rsidP="003D2116">
      <w:pPr>
        <w:pStyle w:val="Heading2"/>
        <w:tabs>
          <w:tab w:val="num" w:pos="1440"/>
        </w:tabs>
        <w:spacing w:line="240" w:lineRule="auto"/>
        <w:rPr>
          <w:rFonts w:ascii="Century Gothic" w:hAnsi="Century Gothic" w:cs="Arial"/>
          <w:sz w:val="20"/>
        </w:rPr>
      </w:pPr>
    </w:p>
    <w:p w14:paraId="3A0E6317" w14:textId="7A8B6BEC" w:rsidR="003D2116" w:rsidRPr="001F3581" w:rsidRDefault="003D2116" w:rsidP="003D2116">
      <w:pPr>
        <w:pStyle w:val="Heading2"/>
        <w:tabs>
          <w:tab w:val="num" w:pos="1440"/>
        </w:tabs>
        <w:spacing w:line="240" w:lineRule="auto"/>
        <w:rPr>
          <w:rFonts w:ascii="Century Gothic" w:hAnsi="Century Gothic" w:cs="Arial"/>
          <w:sz w:val="20"/>
        </w:rPr>
      </w:pPr>
      <w:r w:rsidRPr="001F3581">
        <w:rPr>
          <w:rFonts w:ascii="Century Gothic" w:hAnsi="Century Gothic" w:cs="Arial"/>
          <w:sz w:val="20"/>
        </w:rPr>
        <w:t>Policy and Procedure Change Management</w:t>
      </w:r>
    </w:p>
    <w:p w14:paraId="54FC4A29" w14:textId="537E3E25" w:rsidR="003D2116" w:rsidRPr="00E40CCE" w:rsidRDefault="003D2116" w:rsidP="003D2116">
      <w:pPr>
        <w:spacing w:before="120" w:after="120"/>
        <w:contextualSpacing/>
        <w:rPr>
          <w:rFonts w:ascii="Arial" w:hAnsi="Arial" w:cs="Arial"/>
          <w:sz w:val="20"/>
          <w:szCs w:val="24"/>
        </w:rPr>
      </w:pPr>
      <w:r>
        <w:rPr>
          <w:rFonts w:ascii="Arial" w:hAnsi="Arial" w:cs="Arial"/>
          <w:sz w:val="20"/>
          <w:szCs w:val="24"/>
        </w:rPr>
        <w:t>T</w:t>
      </w:r>
      <w:r w:rsidRPr="00E40CCE">
        <w:rPr>
          <w:rFonts w:ascii="Arial" w:hAnsi="Arial" w:cs="Arial"/>
          <w:sz w:val="20"/>
          <w:szCs w:val="24"/>
        </w:rPr>
        <w:t xml:space="preserve">hese policies and procedures are </w:t>
      </w:r>
      <w:r>
        <w:rPr>
          <w:rFonts w:ascii="Arial" w:hAnsi="Arial" w:cs="Arial"/>
          <w:sz w:val="20"/>
          <w:szCs w:val="24"/>
        </w:rPr>
        <w:t>developed and maintained by t</w:t>
      </w:r>
      <w:r w:rsidR="00171277">
        <w:rPr>
          <w:rFonts w:ascii="Arial" w:hAnsi="Arial" w:cs="Arial"/>
          <w:sz w:val="20"/>
          <w:szCs w:val="24"/>
        </w:rPr>
        <w:t>he technical a</w:t>
      </w:r>
      <w:r w:rsidRPr="00E40CCE">
        <w:rPr>
          <w:rFonts w:ascii="Arial" w:hAnsi="Arial" w:cs="Arial"/>
          <w:sz w:val="20"/>
          <w:szCs w:val="24"/>
        </w:rPr>
        <w:t>ccounting team, who will track edits and updates to the manual, and ensure that recent</w:t>
      </w:r>
      <w:r>
        <w:rPr>
          <w:rFonts w:ascii="Arial" w:hAnsi="Arial" w:cs="Arial"/>
          <w:sz w:val="20"/>
          <w:szCs w:val="24"/>
        </w:rPr>
        <w:t xml:space="preserve">ly issued accounting standards issued by the </w:t>
      </w:r>
      <w:r w:rsidRPr="00E40CCE">
        <w:rPr>
          <w:rFonts w:ascii="Arial" w:hAnsi="Arial" w:cs="Arial"/>
          <w:sz w:val="20"/>
          <w:szCs w:val="24"/>
        </w:rPr>
        <w:t xml:space="preserve">FASB </w:t>
      </w:r>
      <w:r>
        <w:rPr>
          <w:rFonts w:ascii="Arial" w:hAnsi="Arial" w:cs="Arial"/>
          <w:sz w:val="20"/>
          <w:szCs w:val="24"/>
        </w:rPr>
        <w:t>are reviewed and included in this manual as applicable to the Company.</w:t>
      </w:r>
      <w:r w:rsidR="00171277">
        <w:rPr>
          <w:rFonts w:ascii="Arial" w:hAnsi="Arial" w:cs="Arial"/>
          <w:sz w:val="20"/>
          <w:szCs w:val="24"/>
        </w:rPr>
        <w:t xml:space="preserve"> The </w:t>
      </w:r>
      <w:r w:rsidR="00171277" w:rsidRPr="008A2CD3">
        <w:rPr>
          <w:rFonts w:ascii="Arial" w:hAnsi="Arial" w:cs="Arial"/>
          <w:sz w:val="20"/>
          <w:szCs w:val="24"/>
        </w:rPr>
        <w:t>t</w:t>
      </w:r>
      <w:r w:rsidRPr="008A2CD3">
        <w:rPr>
          <w:rFonts w:ascii="Arial" w:hAnsi="Arial" w:cs="Arial"/>
          <w:sz w:val="20"/>
          <w:szCs w:val="24"/>
        </w:rPr>
        <w:t xml:space="preserve">echnical </w:t>
      </w:r>
      <w:r w:rsidR="00171277" w:rsidRPr="008A2CD3">
        <w:rPr>
          <w:rFonts w:ascii="Arial" w:hAnsi="Arial" w:cs="Arial"/>
          <w:sz w:val="20"/>
          <w:szCs w:val="24"/>
        </w:rPr>
        <w:t xml:space="preserve">accounting </w:t>
      </w:r>
      <w:r w:rsidRPr="008A2CD3">
        <w:rPr>
          <w:rFonts w:ascii="Arial" w:hAnsi="Arial" w:cs="Arial"/>
          <w:sz w:val="20"/>
          <w:szCs w:val="24"/>
        </w:rPr>
        <w:t>team will gain input and agreement from relevant department leaders and approval by</w:t>
      </w:r>
      <w:r w:rsidR="001D0DDD" w:rsidRPr="008A2CD3">
        <w:rPr>
          <w:rFonts w:ascii="Arial" w:hAnsi="Arial" w:cs="Arial"/>
          <w:sz w:val="20"/>
          <w:szCs w:val="24"/>
        </w:rPr>
        <w:t xml:space="preserve"> </w:t>
      </w:r>
      <w:r w:rsidR="001D0DDD" w:rsidRPr="008A2CD3">
        <w:rPr>
          <w:rFonts w:ascii="Arial" w:hAnsi="Arial"/>
          <w:sz w:val="20"/>
        </w:rPr>
        <w:t xml:space="preserve">the </w:t>
      </w:r>
      <w:r w:rsidR="001D0DDD" w:rsidRPr="008A2CD3">
        <w:rPr>
          <w:rFonts w:ascii="Arial" w:hAnsi="Arial" w:cs="Arial"/>
          <w:sz w:val="20"/>
          <w:szCs w:val="24"/>
        </w:rPr>
        <w:t>CAO</w:t>
      </w:r>
      <w:r w:rsidRPr="008A2CD3">
        <w:rPr>
          <w:rFonts w:ascii="Arial" w:hAnsi="Arial" w:cs="Arial"/>
          <w:sz w:val="20"/>
          <w:szCs w:val="24"/>
        </w:rPr>
        <w:t xml:space="preserve"> and</w:t>
      </w:r>
      <w:r>
        <w:rPr>
          <w:rFonts w:ascii="Arial" w:hAnsi="Arial" w:cs="Arial"/>
          <w:sz w:val="20"/>
          <w:szCs w:val="24"/>
        </w:rPr>
        <w:t xml:space="preserve"> CFO prior to any </w:t>
      </w:r>
      <w:r w:rsidRPr="00E40CCE">
        <w:rPr>
          <w:rFonts w:ascii="Arial" w:hAnsi="Arial" w:cs="Arial"/>
          <w:sz w:val="20"/>
          <w:szCs w:val="24"/>
        </w:rPr>
        <w:t xml:space="preserve">updates to </w:t>
      </w:r>
      <w:r>
        <w:rPr>
          <w:rFonts w:ascii="Arial" w:hAnsi="Arial" w:cs="Arial"/>
          <w:sz w:val="20"/>
          <w:szCs w:val="24"/>
        </w:rPr>
        <w:t>the Manual</w:t>
      </w:r>
      <w:r w:rsidRPr="00E40CCE">
        <w:rPr>
          <w:rFonts w:ascii="Arial" w:hAnsi="Arial" w:cs="Arial"/>
          <w:sz w:val="20"/>
          <w:szCs w:val="24"/>
        </w:rPr>
        <w:t xml:space="preserve">.  </w:t>
      </w:r>
    </w:p>
    <w:p w14:paraId="5107204C" w14:textId="77777777" w:rsidR="00DF7DFD" w:rsidRDefault="00DF7DFD">
      <w:pPr>
        <w:tabs>
          <w:tab w:val="left" w:pos="676"/>
          <w:tab w:val="left" w:pos="1385"/>
        </w:tabs>
        <w:ind w:firstLine="1380"/>
        <w:jc w:val="both"/>
        <w:rPr>
          <w:rFonts w:ascii="Arial" w:hAnsi="Arial" w:cs="Arial"/>
          <w:sz w:val="20"/>
        </w:rPr>
      </w:pPr>
    </w:p>
    <w:p w14:paraId="196ED4D6" w14:textId="77777777" w:rsidR="00DF7DFD" w:rsidRDefault="00DF7DFD">
      <w:pPr>
        <w:pStyle w:val="Heading1"/>
        <w:jc w:val="both"/>
        <w:rPr>
          <w:rFonts w:ascii="Arial" w:hAnsi="Arial" w:cs="Arial"/>
          <w:bCs/>
          <w:sz w:val="48"/>
          <w:szCs w:val="48"/>
        </w:rPr>
        <w:sectPr w:rsidR="00DF7DFD">
          <w:footerReference w:type="default" r:id="rId9"/>
          <w:footerReference w:type="first" r:id="rId10"/>
          <w:pgSz w:w="11909" w:h="16834" w:code="9"/>
          <w:pgMar w:top="1021" w:right="1151" w:bottom="1247" w:left="1151" w:header="720" w:footer="720" w:gutter="0"/>
          <w:paperSrc w:first="7" w:other="7"/>
          <w:pgNumType w:start="1"/>
          <w:cols w:space="0"/>
          <w:noEndnote/>
          <w:docGrid w:linePitch="326"/>
        </w:sectPr>
      </w:pPr>
      <w:bookmarkStart w:id="15" w:name="_Toc308509430"/>
      <w:bookmarkStart w:id="16" w:name="_Toc217460893"/>
    </w:p>
    <w:bookmarkEnd w:id="15"/>
    <w:p w14:paraId="4BE7C552" w14:textId="77777777" w:rsidR="00DF7DFD" w:rsidRDefault="00F62BB8">
      <w:pPr>
        <w:tabs>
          <w:tab w:val="left" w:pos="1824"/>
        </w:tabs>
        <w:jc w:val="both"/>
        <w:rPr>
          <w:rFonts w:ascii="Century Gothic" w:hAnsi="Century Gothic" w:cs="Arial"/>
          <w:b/>
          <w:sz w:val="48"/>
          <w:szCs w:val="48"/>
        </w:rPr>
      </w:pPr>
      <w:r>
        <w:rPr>
          <w:rFonts w:ascii="Century Gothic" w:hAnsi="Century Gothic" w:cs="Arial"/>
          <w:b/>
          <w:sz w:val="48"/>
          <w:szCs w:val="48"/>
        </w:rPr>
        <w:t>Accounting Policies</w:t>
      </w:r>
    </w:p>
    <w:p w14:paraId="1589C1BE" w14:textId="77777777" w:rsidR="00DF7DFD" w:rsidRDefault="00DF7DFD">
      <w:pPr>
        <w:pStyle w:val="Heading1"/>
        <w:rPr>
          <w:rFonts w:ascii="Arial" w:hAnsi="Arial" w:cs="Arial"/>
          <w:bCs/>
        </w:rPr>
      </w:pPr>
    </w:p>
    <w:p w14:paraId="60DA5F87" w14:textId="77777777" w:rsidR="00DF7DFD" w:rsidRDefault="00F62BB8" w:rsidP="00FC279A">
      <w:pPr>
        <w:pStyle w:val="Heading2"/>
        <w:numPr>
          <w:ilvl w:val="1"/>
          <w:numId w:val="2"/>
        </w:numPr>
        <w:tabs>
          <w:tab w:val="clear" w:pos="1440"/>
          <w:tab w:val="clear" w:pos="2880"/>
          <w:tab w:val="clear" w:pos="4395"/>
          <w:tab w:val="clear" w:pos="5760"/>
          <w:tab w:val="clear" w:pos="7560"/>
          <w:tab w:val="num" w:pos="360"/>
        </w:tabs>
        <w:spacing w:line="0" w:lineRule="atLeast"/>
        <w:ind w:hanging="930"/>
        <w:rPr>
          <w:rFonts w:ascii="Century Gothic" w:hAnsi="Century Gothic" w:cs="Arial"/>
          <w:sz w:val="20"/>
        </w:rPr>
      </w:pPr>
      <w:bookmarkStart w:id="17" w:name="_General"/>
      <w:bookmarkStart w:id="18" w:name="_Toc308509432"/>
      <w:bookmarkEnd w:id="17"/>
      <w:r>
        <w:rPr>
          <w:rFonts w:ascii="Century Gothic" w:hAnsi="Century Gothic" w:cs="Arial"/>
          <w:sz w:val="20"/>
        </w:rPr>
        <w:t>General</w:t>
      </w:r>
      <w:bookmarkEnd w:id="16"/>
      <w:bookmarkEnd w:id="18"/>
    </w:p>
    <w:p w14:paraId="348F9F27" w14:textId="79CE98AA" w:rsidR="00DF7DFD" w:rsidRPr="008A2CD3" w:rsidRDefault="00F62BB8">
      <w:pPr>
        <w:spacing w:line="0" w:lineRule="atLeast"/>
        <w:ind w:left="360"/>
        <w:rPr>
          <w:rFonts w:ascii="Arial" w:hAnsi="Arial" w:cs="Arial"/>
          <w:sz w:val="20"/>
        </w:rPr>
      </w:pPr>
      <w:r>
        <w:rPr>
          <w:rFonts w:ascii="Arial" w:hAnsi="Arial" w:cs="Arial"/>
          <w:sz w:val="20"/>
        </w:rPr>
        <w:t xml:space="preserve">The principal accounting policies and practices of Bioventus </w:t>
      </w:r>
      <w:r w:rsidRPr="008A2CD3">
        <w:rPr>
          <w:rFonts w:ascii="Arial" w:hAnsi="Arial" w:cs="Arial"/>
          <w:sz w:val="20"/>
        </w:rPr>
        <w:t xml:space="preserve">are </w:t>
      </w:r>
      <w:r w:rsidR="00D54981" w:rsidRPr="008A2CD3">
        <w:rPr>
          <w:rFonts w:ascii="Arial" w:hAnsi="Arial" w:cs="Arial"/>
          <w:sz w:val="20"/>
        </w:rPr>
        <w:t xml:space="preserve">ultimately </w:t>
      </w:r>
      <w:r w:rsidRPr="008A2CD3">
        <w:rPr>
          <w:rFonts w:ascii="Arial" w:hAnsi="Arial" w:cs="Arial"/>
          <w:sz w:val="20"/>
        </w:rPr>
        <w:t>controlled by the C</w:t>
      </w:r>
      <w:r w:rsidR="00D55823" w:rsidRPr="008A2CD3">
        <w:rPr>
          <w:rFonts w:ascii="Arial" w:hAnsi="Arial" w:cs="Arial"/>
          <w:sz w:val="20"/>
        </w:rPr>
        <w:t>F</w:t>
      </w:r>
      <w:r w:rsidRPr="008A2CD3">
        <w:rPr>
          <w:rFonts w:ascii="Arial" w:hAnsi="Arial" w:cs="Arial"/>
          <w:sz w:val="20"/>
        </w:rPr>
        <w:t>O.  The C</w:t>
      </w:r>
      <w:r w:rsidR="00D55823" w:rsidRPr="008A2CD3">
        <w:rPr>
          <w:rFonts w:ascii="Arial" w:hAnsi="Arial" w:cs="Arial"/>
          <w:sz w:val="20"/>
        </w:rPr>
        <w:t>F</w:t>
      </w:r>
      <w:r w:rsidRPr="008A2CD3">
        <w:rPr>
          <w:rFonts w:ascii="Arial" w:hAnsi="Arial" w:cs="Arial"/>
          <w:sz w:val="20"/>
        </w:rPr>
        <w:t xml:space="preserve">O approves changes to the Company’s accounting policies. Significant changes to the Company’s accounting policies require the approval of the Audit Committee (AC) on the recommendation of the </w:t>
      </w:r>
      <w:r w:rsidR="00043673" w:rsidRPr="008A2CD3">
        <w:rPr>
          <w:rFonts w:ascii="Arial" w:hAnsi="Arial" w:cs="Arial"/>
          <w:sz w:val="20"/>
        </w:rPr>
        <w:t xml:space="preserve">CAO and </w:t>
      </w:r>
      <w:r w:rsidRPr="008A2CD3">
        <w:rPr>
          <w:rFonts w:ascii="Arial" w:hAnsi="Arial" w:cs="Arial"/>
          <w:sz w:val="20"/>
        </w:rPr>
        <w:t>C</w:t>
      </w:r>
      <w:r w:rsidR="00D55823" w:rsidRPr="008A2CD3">
        <w:rPr>
          <w:rFonts w:ascii="Arial" w:hAnsi="Arial" w:cs="Arial"/>
          <w:sz w:val="20"/>
        </w:rPr>
        <w:t>F</w:t>
      </w:r>
      <w:r w:rsidRPr="008A2CD3">
        <w:rPr>
          <w:rFonts w:ascii="Arial" w:hAnsi="Arial" w:cs="Arial"/>
          <w:sz w:val="20"/>
        </w:rPr>
        <w:t>O. The AC approves annually the appropriateness of the Company’s critical accounting policies through its approval of the annual financial statements.</w:t>
      </w:r>
    </w:p>
    <w:p w14:paraId="04D95E3C" w14:textId="77777777" w:rsidR="00DF7DFD" w:rsidRPr="008A2CD3" w:rsidRDefault="00DF7DFD">
      <w:pPr>
        <w:pStyle w:val="ListParagraph"/>
        <w:spacing w:line="0" w:lineRule="atLeast"/>
        <w:ind w:left="-720"/>
        <w:rPr>
          <w:rFonts w:ascii="Arial" w:hAnsi="Arial" w:cs="Arial"/>
          <w:sz w:val="20"/>
        </w:rPr>
      </w:pPr>
    </w:p>
    <w:p w14:paraId="2200C6B7" w14:textId="50F66574" w:rsidR="00DF7DFD" w:rsidRDefault="00F62BB8">
      <w:pPr>
        <w:spacing w:line="0" w:lineRule="atLeast"/>
        <w:ind w:left="360"/>
        <w:rPr>
          <w:rFonts w:ascii="Arial" w:hAnsi="Arial" w:cs="Arial"/>
          <w:sz w:val="20"/>
        </w:rPr>
      </w:pPr>
      <w:r w:rsidRPr="008A2CD3">
        <w:rPr>
          <w:rFonts w:ascii="Arial" w:hAnsi="Arial" w:cs="Arial"/>
          <w:sz w:val="20"/>
        </w:rPr>
        <w:t xml:space="preserve">The </w:t>
      </w:r>
      <w:r w:rsidR="00043673" w:rsidRPr="008A2CD3">
        <w:rPr>
          <w:rFonts w:ascii="Arial" w:hAnsi="Arial" w:cs="Arial"/>
          <w:sz w:val="20"/>
        </w:rPr>
        <w:t>CAO</w:t>
      </w:r>
      <w:r w:rsidRPr="008A2CD3">
        <w:rPr>
          <w:rFonts w:ascii="Arial" w:hAnsi="Arial" w:cs="Arial"/>
          <w:sz w:val="20"/>
        </w:rPr>
        <w:t xml:space="preserve"> </w:t>
      </w:r>
      <w:r w:rsidR="00845006">
        <w:rPr>
          <w:rFonts w:ascii="Arial" w:hAnsi="Arial" w:cs="Arial"/>
          <w:sz w:val="20"/>
        </w:rPr>
        <w:t>is</w:t>
      </w:r>
      <w:r w:rsidRPr="008A2CD3">
        <w:rPr>
          <w:rFonts w:ascii="Arial" w:hAnsi="Arial" w:cs="Arial"/>
          <w:sz w:val="20"/>
        </w:rPr>
        <w:t xml:space="preserve"> responsible for ensuring compliance with the Company’s accounting policies.  All subsidiaries are required to maintain local books and records</w:t>
      </w:r>
      <w:r>
        <w:rPr>
          <w:rFonts w:ascii="Arial" w:hAnsi="Arial" w:cs="Arial"/>
          <w:sz w:val="20"/>
        </w:rPr>
        <w:t xml:space="preserve"> in </w:t>
      </w:r>
      <w:r w:rsidR="00A2003B">
        <w:rPr>
          <w:rFonts w:ascii="Arial" w:hAnsi="Arial" w:cs="Arial"/>
          <w:sz w:val="20"/>
        </w:rPr>
        <w:t xml:space="preserve">accordance with </w:t>
      </w:r>
      <w:r>
        <w:rPr>
          <w:rFonts w:ascii="Arial" w:hAnsi="Arial" w:cs="Arial"/>
          <w:sz w:val="20"/>
        </w:rPr>
        <w:t xml:space="preserve">U.S. GAAP </w:t>
      </w:r>
      <w:r w:rsidR="00A2003B">
        <w:rPr>
          <w:rFonts w:ascii="Arial" w:hAnsi="Arial" w:cs="Arial"/>
          <w:sz w:val="20"/>
        </w:rPr>
        <w:t xml:space="preserve">and SEC regulations </w:t>
      </w:r>
      <w:r>
        <w:rPr>
          <w:rFonts w:ascii="Arial" w:hAnsi="Arial" w:cs="Arial"/>
          <w:sz w:val="20"/>
        </w:rPr>
        <w:t xml:space="preserve">for reporting to Corporate Finance for consolidation, and more particularly the accounting policies contained in this manual. </w:t>
      </w:r>
    </w:p>
    <w:p w14:paraId="12D426B0" w14:textId="77777777" w:rsidR="00DF7DFD" w:rsidRDefault="00DF7DFD">
      <w:pPr>
        <w:spacing w:line="0" w:lineRule="atLeast"/>
        <w:ind w:left="-720"/>
        <w:rPr>
          <w:rFonts w:ascii="Arial" w:hAnsi="Arial" w:cs="Arial"/>
          <w:sz w:val="20"/>
        </w:rPr>
      </w:pPr>
    </w:p>
    <w:p w14:paraId="6FDCD6FF" w14:textId="20DE8FC6" w:rsidR="00DF7DFD" w:rsidRDefault="00F62BB8">
      <w:pPr>
        <w:spacing w:line="0" w:lineRule="atLeast"/>
        <w:ind w:left="360"/>
        <w:rPr>
          <w:rFonts w:ascii="Arial" w:hAnsi="Arial" w:cs="Arial"/>
          <w:sz w:val="20"/>
        </w:rPr>
      </w:pPr>
      <w:r>
        <w:rPr>
          <w:rFonts w:ascii="Arial" w:hAnsi="Arial" w:cs="Arial"/>
          <w:sz w:val="20"/>
        </w:rPr>
        <w:t xml:space="preserve">If </w:t>
      </w:r>
      <w:r w:rsidR="00EC0382">
        <w:rPr>
          <w:rFonts w:ascii="Arial" w:hAnsi="Arial" w:cs="Arial"/>
          <w:sz w:val="20"/>
        </w:rPr>
        <w:t>s</w:t>
      </w:r>
      <w:r>
        <w:rPr>
          <w:rFonts w:ascii="Arial" w:hAnsi="Arial" w:cs="Arial"/>
          <w:sz w:val="20"/>
        </w:rPr>
        <w:t>ubsidiary reporting requirements differ from local law, a separate ledger should be maintained in their local generally accepted accounting principles with a clear audit trail of differences to the Company reporting under U.S. GAAP</w:t>
      </w:r>
      <w:r w:rsidR="00D40588">
        <w:rPr>
          <w:rFonts w:ascii="Arial" w:hAnsi="Arial" w:cs="Arial"/>
          <w:sz w:val="20"/>
        </w:rPr>
        <w:t xml:space="preserve"> and SEC regulations</w:t>
      </w:r>
      <w:r>
        <w:rPr>
          <w:rFonts w:ascii="Arial" w:hAnsi="Arial" w:cs="Arial"/>
          <w:sz w:val="20"/>
        </w:rPr>
        <w:t>.</w:t>
      </w:r>
    </w:p>
    <w:p w14:paraId="0630E329" w14:textId="77777777" w:rsidR="00DF7DFD" w:rsidRDefault="00DF7DFD">
      <w:pPr>
        <w:spacing w:line="0" w:lineRule="atLeast"/>
        <w:ind w:left="360"/>
        <w:rPr>
          <w:rFonts w:ascii="Arial" w:hAnsi="Arial" w:cs="Arial"/>
          <w:sz w:val="20"/>
        </w:rPr>
      </w:pPr>
    </w:p>
    <w:p w14:paraId="1C874C60" w14:textId="2237B890" w:rsidR="00DF7DFD" w:rsidRDefault="00F62BB8">
      <w:pPr>
        <w:spacing w:line="0" w:lineRule="atLeast"/>
        <w:ind w:left="360"/>
        <w:rPr>
          <w:rFonts w:ascii="Arial" w:hAnsi="Arial" w:cs="Arial"/>
          <w:sz w:val="20"/>
        </w:rPr>
      </w:pPr>
      <w:r w:rsidRPr="008A2CD3">
        <w:rPr>
          <w:rFonts w:ascii="Arial" w:hAnsi="Arial" w:cs="Arial"/>
          <w:sz w:val="20"/>
        </w:rPr>
        <w:t>The Company’s internal accounting timetable consists of four equal quarters of 13 weeks duration.  Each quarter comprises three periods; the first period is between four to five weeks long and the second and third periods are four weeks long.  Period 12 should always end on December 31</w:t>
      </w:r>
      <w:r w:rsidRPr="008A2CD3">
        <w:rPr>
          <w:rFonts w:ascii="Arial" w:hAnsi="Arial" w:cs="Arial"/>
          <w:sz w:val="20"/>
          <w:vertAlign w:val="superscript"/>
        </w:rPr>
        <w:t>st</w:t>
      </w:r>
      <w:r w:rsidRPr="008A2CD3">
        <w:rPr>
          <w:rFonts w:ascii="Arial" w:hAnsi="Arial" w:cs="Arial"/>
          <w:sz w:val="20"/>
        </w:rPr>
        <w:t xml:space="preserve"> with the length of Period 1 adjusted accordingly and Period 6 should always end on the nearest Saturday to June 30</w:t>
      </w:r>
      <w:r w:rsidRPr="008A2CD3">
        <w:rPr>
          <w:rFonts w:ascii="Arial" w:hAnsi="Arial" w:cs="Arial"/>
          <w:sz w:val="20"/>
          <w:vertAlign w:val="superscript"/>
        </w:rPr>
        <w:t>th</w:t>
      </w:r>
      <w:r w:rsidRPr="008A2CD3">
        <w:rPr>
          <w:rFonts w:ascii="Arial" w:hAnsi="Arial" w:cs="Arial"/>
          <w:sz w:val="20"/>
        </w:rPr>
        <w:t xml:space="preserve">.  Each year the </w:t>
      </w:r>
      <w:proofErr w:type="gramStart"/>
      <w:r w:rsidR="007E1130" w:rsidRPr="008A2CD3">
        <w:rPr>
          <w:rFonts w:ascii="Arial" w:hAnsi="Arial"/>
          <w:sz w:val="20"/>
        </w:rPr>
        <w:t>Accounting</w:t>
      </w:r>
      <w:proofErr w:type="gramEnd"/>
      <w:r w:rsidR="008B5C63" w:rsidRPr="008A2CD3">
        <w:rPr>
          <w:rFonts w:ascii="Arial" w:hAnsi="Arial" w:cs="Arial"/>
          <w:sz w:val="20"/>
        </w:rPr>
        <w:t xml:space="preserve"> team</w:t>
      </w:r>
      <w:r w:rsidR="007E1130" w:rsidRPr="008A2CD3">
        <w:rPr>
          <w:rFonts w:ascii="Arial" w:hAnsi="Arial" w:cs="Arial"/>
          <w:b/>
          <w:sz w:val="20"/>
        </w:rPr>
        <w:t xml:space="preserve"> </w:t>
      </w:r>
      <w:r w:rsidRPr="008A2CD3">
        <w:rPr>
          <w:rFonts w:ascii="Arial" w:hAnsi="Arial" w:cs="Arial"/>
          <w:sz w:val="20"/>
        </w:rPr>
        <w:t>confirms</w:t>
      </w:r>
      <w:r>
        <w:rPr>
          <w:rFonts w:ascii="Arial" w:hAnsi="Arial" w:cs="Arial"/>
          <w:sz w:val="20"/>
        </w:rPr>
        <w:t xml:space="preserve"> the period ends in time for the budget year ahead.</w:t>
      </w:r>
    </w:p>
    <w:p w14:paraId="58C1187C" w14:textId="02D53786" w:rsidR="008611AF" w:rsidRDefault="008611AF">
      <w:pPr>
        <w:spacing w:line="0" w:lineRule="atLeast"/>
        <w:ind w:left="360"/>
        <w:rPr>
          <w:rFonts w:ascii="Arial" w:hAnsi="Arial" w:cs="Arial"/>
          <w:sz w:val="20"/>
        </w:rPr>
      </w:pPr>
    </w:p>
    <w:p w14:paraId="48BFC76D" w14:textId="2C97C189" w:rsidR="008611AF" w:rsidRDefault="008611AF">
      <w:pPr>
        <w:spacing w:line="0" w:lineRule="atLeast"/>
        <w:ind w:left="360"/>
        <w:rPr>
          <w:rFonts w:ascii="Arial" w:hAnsi="Arial" w:cs="Arial"/>
          <w:sz w:val="20"/>
        </w:rPr>
      </w:pPr>
      <w:r w:rsidRPr="008611AF">
        <w:rPr>
          <w:rFonts w:ascii="Arial" w:hAnsi="Arial" w:cs="Arial"/>
          <w:sz w:val="20"/>
        </w:rPr>
        <w:t xml:space="preserve">Each period, all accounts requiring reconciliation are reviewed and </w:t>
      </w:r>
      <w:proofErr w:type="gramStart"/>
      <w:r w:rsidRPr="008611AF">
        <w:rPr>
          <w:rFonts w:ascii="Arial" w:hAnsi="Arial" w:cs="Arial"/>
          <w:sz w:val="20"/>
        </w:rPr>
        <w:t>signed-off</w:t>
      </w:r>
      <w:proofErr w:type="gramEnd"/>
      <w:r w:rsidRPr="008611AF">
        <w:rPr>
          <w:rFonts w:ascii="Arial" w:hAnsi="Arial" w:cs="Arial"/>
          <w:sz w:val="20"/>
        </w:rPr>
        <w:t xml:space="preserve"> on by the designated reviewer in Blackline.  Designated accounts are reconciled to an acceptable threshold, as defined by Blackline settings. Review is evidenced by certification via Blackline</w:t>
      </w:r>
      <w:r>
        <w:rPr>
          <w:rFonts w:ascii="Arial" w:hAnsi="Arial" w:cs="Arial"/>
          <w:sz w:val="20"/>
        </w:rPr>
        <w:t xml:space="preserve"> and is completed in advance of the subsequent month end</w:t>
      </w:r>
      <w:r w:rsidRPr="008611AF">
        <w:rPr>
          <w:rFonts w:ascii="Arial" w:hAnsi="Arial" w:cs="Arial"/>
          <w:sz w:val="20"/>
        </w:rPr>
        <w:t>.</w:t>
      </w:r>
    </w:p>
    <w:p w14:paraId="54E875C4" w14:textId="74FAC79A" w:rsidR="008611AF" w:rsidRDefault="008611AF">
      <w:pPr>
        <w:spacing w:line="0" w:lineRule="atLeast"/>
        <w:ind w:left="360"/>
        <w:rPr>
          <w:rFonts w:ascii="Arial" w:hAnsi="Arial" w:cs="Arial"/>
          <w:sz w:val="20"/>
        </w:rPr>
      </w:pPr>
    </w:p>
    <w:p w14:paraId="13B1AF1E" w14:textId="653F1F87" w:rsidR="00B521FE" w:rsidRDefault="00B521FE" w:rsidP="00B521FE">
      <w:pPr>
        <w:spacing w:line="0" w:lineRule="atLeast"/>
        <w:ind w:left="360"/>
        <w:rPr>
          <w:rFonts w:ascii="Arial" w:hAnsi="Arial" w:cs="Arial"/>
          <w:sz w:val="20"/>
        </w:rPr>
      </w:pPr>
      <w:r>
        <w:rPr>
          <w:rFonts w:ascii="Arial" w:hAnsi="Arial" w:cs="Arial"/>
          <w:sz w:val="20"/>
        </w:rPr>
        <w:t>Journal entry authorization requirements are as follows:</w:t>
      </w:r>
    </w:p>
    <w:p w14:paraId="167F1C0D" w14:textId="61B9E131" w:rsidR="00B521FE" w:rsidRPr="00B521FE" w:rsidRDefault="00B521FE" w:rsidP="00DE36D0">
      <w:pPr>
        <w:pStyle w:val="ListParagraph"/>
        <w:numPr>
          <w:ilvl w:val="0"/>
          <w:numId w:val="47"/>
        </w:numPr>
        <w:spacing w:line="0" w:lineRule="atLeast"/>
        <w:rPr>
          <w:rFonts w:ascii="Arial" w:hAnsi="Arial" w:cs="Arial"/>
          <w:sz w:val="20"/>
        </w:rPr>
      </w:pPr>
      <w:r w:rsidRPr="00B521FE">
        <w:rPr>
          <w:rFonts w:ascii="Arial" w:hAnsi="Arial" w:cs="Arial"/>
          <w:sz w:val="20"/>
        </w:rPr>
        <w:t xml:space="preserve">Only authorized positions should review and post journal entries. Authorization of journal entries is </w:t>
      </w:r>
      <w:r w:rsidR="00540FE8">
        <w:rPr>
          <w:rFonts w:ascii="Arial" w:hAnsi="Arial" w:cs="Arial"/>
          <w:sz w:val="20"/>
        </w:rPr>
        <w:t xml:space="preserve">generally </w:t>
      </w:r>
      <w:r w:rsidRPr="00B521FE">
        <w:rPr>
          <w:rFonts w:ascii="Arial" w:hAnsi="Arial" w:cs="Arial"/>
          <w:sz w:val="20"/>
        </w:rPr>
        <w:t>limited to an accounting department representative who is at least one level higher in the organization than the preparer.</w:t>
      </w:r>
    </w:p>
    <w:p w14:paraId="2563D26D" w14:textId="75DDC572" w:rsidR="00B521FE" w:rsidRPr="00B521FE" w:rsidRDefault="00B521FE" w:rsidP="00DE36D0">
      <w:pPr>
        <w:pStyle w:val="ListParagraph"/>
        <w:numPr>
          <w:ilvl w:val="0"/>
          <w:numId w:val="47"/>
        </w:numPr>
        <w:spacing w:line="0" w:lineRule="atLeast"/>
        <w:rPr>
          <w:rFonts w:ascii="Arial" w:hAnsi="Arial" w:cs="Arial"/>
          <w:sz w:val="20"/>
        </w:rPr>
      </w:pPr>
      <w:r w:rsidRPr="00B521FE">
        <w:rPr>
          <w:rFonts w:ascii="Arial" w:hAnsi="Arial" w:cs="Arial"/>
          <w:sz w:val="20"/>
        </w:rPr>
        <w:t xml:space="preserve">The evidence of journal entry reviews should be maintained. </w:t>
      </w:r>
    </w:p>
    <w:p w14:paraId="018C5FD1" w14:textId="4870CF03" w:rsidR="00B521FE" w:rsidRPr="00B521FE" w:rsidRDefault="00B521FE" w:rsidP="00DE36D0">
      <w:pPr>
        <w:pStyle w:val="ListParagraph"/>
        <w:numPr>
          <w:ilvl w:val="0"/>
          <w:numId w:val="47"/>
        </w:numPr>
        <w:spacing w:line="0" w:lineRule="atLeast"/>
        <w:rPr>
          <w:rFonts w:ascii="Arial" w:hAnsi="Arial" w:cs="Arial"/>
          <w:sz w:val="20"/>
        </w:rPr>
      </w:pPr>
      <w:r w:rsidRPr="00B521FE">
        <w:rPr>
          <w:rFonts w:ascii="Arial" w:hAnsi="Arial" w:cs="Arial"/>
          <w:sz w:val="20"/>
        </w:rPr>
        <w:t xml:space="preserve">Journal entries should be reviewed for completeness and accuracy to ensure that they account for the proper amounts and are recorded in the proper periods.  </w:t>
      </w:r>
    </w:p>
    <w:p w14:paraId="01447B98" w14:textId="6DE7BAC1" w:rsidR="00B521FE" w:rsidRPr="00B521FE" w:rsidRDefault="00B521FE" w:rsidP="00DE36D0">
      <w:pPr>
        <w:pStyle w:val="ListParagraph"/>
        <w:numPr>
          <w:ilvl w:val="0"/>
          <w:numId w:val="47"/>
        </w:numPr>
        <w:spacing w:line="0" w:lineRule="atLeast"/>
        <w:rPr>
          <w:rFonts w:ascii="Arial" w:hAnsi="Arial" w:cs="Arial"/>
          <w:sz w:val="20"/>
        </w:rPr>
      </w:pPr>
      <w:r>
        <w:rPr>
          <w:rFonts w:ascii="Arial" w:hAnsi="Arial" w:cs="Arial"/>
          <w:sz w:val="20"/>
        </w:rPr>
        <w:t>SAP</w:t>
      </w:r>
      <w:r w:rsidRPr="00B521FE">
        <w:rPr>
          <w:rFonts w:ascii="Arial" w:hAnsi="Arial" w:cs="Arial"/>
          <w:sz w:val="20"/>
        </w:rPr>
        <w:t xml:space="preserve"> should not allow a journal entry that is not in balance to be posted to the G/L.</w:t>
      </w:r>
    </w:p>
    <w:p w14:paraId="3B461F35" w14:textId="73A6B184" w:rsidR="00B521FE" w:rsidRPr="00B521FE" w:rsidRDefault="00B521FE" w:rsidP="00DE36D0">
      <w:pPr>
        <w:pStyle w:val="ListParagraph"/>
        <w:numPr>
          <w:ilvl w:val="0"/>
          <w:numId w:val="47"/>
        </w:numPr>
        <w:spacing w:line="0" w:lineRule="atLeast"/>
        <w:rPr>
          <w:rFonts w:ascii="Arial" w:hAnsi="Arial" w:cs="Arial"/>
          <w:sz w:val="20"/>
        </w:rPr>
      </w:pPr>
      <w:r w:rsidRPr="00B521FE">
        <w:rPr>
          <w:rFonts w:ascii="Arial" w:hAnsi="Arial" w:cs="Arial"/>
          <w:sz w:val="20"/>
        </w:rPr>
        <w:t>Journal entries should not be prepared and approved by the same person.</w:t>
      </w:r>
    </w:p>
    <w:p w14:paraId="0C2800F2" w14:textId="1B0F688A" w:rsidR="00B521FE" w:rsidRPr="00B521FE" w:rsidRDefault="00B521FE" w:rsidP="00DE36D0">
      <w:pPr>
        <w:pStyle w:val="ListParagraph"/>
        <w:numPr>
          <w:ilvl w:val="0"/>
          <w:numId w:val="47"/>
        </w:numPr>
        <w:spacing w:line="0" w:lineRule="atLeast"/>
        <w:rPr>
          <w:rFonts w:ascii="Arial" w:hAnsi="Arial" w:cs="Arial"/>
          <w:sz w:val="20"/>
        </w:rPr>
      </w:pPr>
      <w:r w:rsidRPr="00B521FE">
        <w:rPr>
          <w:rFonts w:ascii="Arial" w:hAnsi="Arial" w:cs="Arial"/>
          <w:sz w:val="20"/>
        </w:rPr>
        <w:t>After the review of the journal entry, the approver should post it to the G/L.</w:t>
      </w:r>
    </w:p>
    <w:p w14:paraId="19A2DF02" w14:textId="39CF5DF5" w:rsidR="00B521FE" w:rsidRPr="00B521FE" w:rsidRDefault="00B521FE" w:rsidP="00DE36D0">
      <w:pPr>
        <w:pStyle w:val="ListParagraph"/>
        <w:numPr>
          <w:ilvl w:val="0"/>
          <w:numId w:val="47"/>
        </w:numPr>
        <w:spacing w:line="0" w:lineRule="atLeast"/>
        <w:rPr>
          <w:rFonts w:ascii="Arial" w:hAnsi="Arial" w:cs="Arial"/>
          <w:sz w:val="20"/>
        </w:rPr>
      </w:pPr>
      <w:r w:rsidRPr="00B521FE">
        <w:rPr>
          <w:rFonts w:ascii="Arial" w:hAnsi="Arial" w:cs="Arial"/>
          <w:sz w:val="20"/>
        </w:rPr>
        <w:t>Approved journal entries should be recorded on a timely basis, generally on the same business day they are approved.</w:t>
      </w:r>
    </w:p>
    <w:p w14:paraId="1E8B0578" w14:textId="77777777" w:rsidR="00B521FE" w:rsidRPr="00B521FE" w:rsidRDefault="00B521FE" w:rsidP="00B521FE">
      <w:pPr>
        <w:spacing w:line="0" w:lineRule="atLeast"/>
        <w:rPr>
          <w:rFonts w:ascii="Arial" w:hAnsi="Arial" w:cs="Arial"/>
          <w:sz w:val="20"/>
          <w:szCs w:val="24"/>
        </w:rPr>
      </w:pPr>
    </w:p>
    <w:p w14:paraId="3C0D946A" w14:textId="3F3AB837" w:rsidR="00C07682" w:rsidRDefault="00C07682" w:rsidP="003D12FE">
      <w:pPr>
        <w:spacing w:line="0" w:lineRule="atLeast"/>
        <w:ind w:left="360"/>
        <w:rPr>
          <w:rFonts w:ascii="Arial" w:hAnsi="Arial" w:cs="Arial"/>
          <w:sz w:val="20"/>
        </w:rPr>
      </w:pPr>
    </w:p>
    <w:p w14:paraId="798B75D5" w14:textId="77777777" w:rsidR="00DF7DFD" w:rsidRDefault="00F62BB8" w:rsidP="003D12FE">
      <w:pPr>
        <w:ind w:left="360"/>
        <w:rPr>
          <w:rFonts w:ascii="Arial" w:hAnsi="Arial" w:cs="Arial"/>
          <w:b/>
          <w:sz w:val="20"/>
        </w:rPr>
      </w:pPr>
      <w:bookmarkStart w:id="19" w:name="_Hlk27132220"/>
      <w:r>
        <w:rPr>
          <w:rFonts w:ascii="Arial" w:hAnsi="Arial" w:cs="Arial"/>
          <w:b/>
          <w:sz w:val="20"/>
        </w:rPr>
        <w:t>*NOTE</w:t>
      </w:r>
      <w:proofErr w:type="gramStart"/>
      <w:r>
        <w:rPr>
          <w:rFonts w:ascii="Arial" w:hAnsi="Arial" w:cs="Arial"/>
          <w:b/>
          <w:sz w:val="20"/>
        </w:rPr>
        <w:t>:  Reclassification</w:t>
      </w:r>
      <w:proofErr w:type="gramEnd"/>
      <w:r>
        <w:rPr>
          <w:rFonts w:ascii="Arial" w:hAnsi="Arial" w:cs="Arial"/>
          <w:b/>
          <w:sz w:val="20"/>
        </w:rPr>
        <w:t xml:space="preserve"> Journal Entry Threshold*</w:t>
      </w:r>
    </w:p>
    <w:p w14:paraId="76347858" w14:textId="77777777" w:rsidR="00DF7DFD" w:rsidRDefault="00DF7DFD" w:rsidP="003D12FE">
      <w:pPr>
        <w:ind w:left="360"/>
        <w:rPr>
          <w:rFonts w:ascii="Arial" w:hAnsi="Arial" w:cs="Arial"/>
          <w:b/>
          <w:sz w:val="20"/>
        </w:rPr>
      </w:pPr>
    </w:p>
    <w:p w14:paraId="55F9AD7F" w14:textId="21B96BD8" w:rsidR="00DF7DFD" w:rsidRDefault="00F62BB8" w:rsidP="003D12FE">
      <w:pPr>
        <w:ind w:left="360"/>
        <w:rPr>
          <w:rFonts w:ascii="Arial" w:hAnsi="Arial" w:cs="Arial"/>
          <w:b/>
          <w:sz w:val="20"/>
        </w:rPr>
      </w:pPr>
      <w:r>
        <w:rPr>
          <w:rFonts w:ascii="Arial" w:hAnsi="Arial" w:cs="Arial"/>
          <w:b/>
          <w:sz w:val="20"/>
        </w:rPr>
        <w:t xml:space="preserve">Bioventus has adopted a threshold </w:t>
      </w:r>
      <w:r>
        <w:rPr>
          <w:rFonts w:ascii="Arial" w:hAnsi="Arial" w:cs="Arial"/>
          <w:b/>
          <w:sz w:val="20"/>
          <w:u w:val="single"/>
        </w:rPr>
        <w:t>minimum of $1,000 for reclassification of journal entries between cost centers within the same expense account</w:t>
      </w:r>
      <w:r>
        <w:rPr>
          <w:rFonts w:ascii="Arial" w:hAnsi="Arial" w:cs="Arial"/>
          <w:b/>
          <w:sz w:val="20"/>
        </w:rPr>
        <w:t>.  This threshold also applies for reclassifications between general ledger expense accounts, unless the cumulative impact of the correction is material to the financial statement.  </w:t>
      </w:r>
    </w:p>
    <w:bookmarkEnd w:id="19"/>
    <w:p w14:paraId="77180CC2" w14:textId="70AE5EA4" w:rsidR="00D40588" w:rsidRDefault="00D40588" w:rsidP="003D12FE">
      <w:pPr>
        <w:ind w:left="360"/>
        <w:rPr>
          <w:rFonts w:ascii="Arial" w:hAnsi="Arial" w:cs="Arial"/>
          <w:b/>
          <w:sz w:val="20"/>
        </w:rPr>
      </w:pPr>
    </w:p>
    <w:p w14:paraId="149B18A3" w14:textId="327F8F7B" w:rsidR="00D40588" w:rsidRPr="008A2CD3" w:rsidRDefault="00D40588" w:rsidP="003D12FE">
      <w:pPr>
        <w:ind w:left="360"/>
        <w:rPr>
          <w:rFonts w:ascii="Arial" w:hAnsi="Arial" w:cs="Arial"/>
          <w:b/>
          <w:sz w:val="20"/>
        </w:rPr>
      </w:pPr>
      <w:r w:rsidRPr="008A2CD3">
        <w:rPr>
          <w:rFonts w:ascii="Arial" w:hAnsi="Arial" w:cs="Arial"/>
          <w:b/>
          <w:sz w:val="20"/>
        </w:rPr>
        <w:t>*NOTE</w:t>
      </w:r>
      <w:proofErr w:type="gramStart"/>
      <w:r w:rsidRPr="008A2CD3">
        <w:rPr>
          <w:rFonts w:ascii="Arial" w:hAnsi="Arial" w:cs="Arial"/>
          <w:b/>
          <w:sz w:val="20"/>
        </w:rPr>
        <w:t>:  Out</w:t>
      </w:r>
      <w:proofErr w:type="gramEnd"/>
      <w:r w:rsidRPr="008A2CD3">
        <w:rPr>
          <w:rFonts w:ascii="Arial" w:hAnsi="Arial" w:cs="Arial"/>
          <w:b/>
          <w:sz w:val="20"/>
        </w:rPr>
        <w:t xml:space="preserve"> of Period Adjustments*</w:t>
      </w:r>
    </w:p>
    <w:p w14:paraId="1D0CF4DE" w14:textId="77777777" w:rsidR="00D40588" w:rsidRPr="008A2CD3" w:rsidRDefault="00D40588" w:rsidP="003D12FE">
      <w:pPr>
        <w:ind w:left="360"/>
        <w:rPr>
          <w:rFonts w:ascii="Arial" w:hAnsi="Arial" w:cs="Arial"/>
          <w:b/>
          <w:sz w:val="20"/>
        </w:rPr>
      </w:pPr>
    </w:p>
    <w:p w14:paraId="6C71B6A2" w14:textId="2711D0D5" w:rsidR="00D40588" w:rsidRDefault="00D40588" w:rsidP="003D12FE">
      <w:pPr>
        <w:ind w:left="360"/>
        <w:rPr>
          <w:rFonts w:ascii="Arial" w:hAnsi="Arial" w:cs="Arial"/>
          <w:b/>
          <w:sz w:val="20"/>
        </w:rPr>
      </w:pPr>
      <w:r w:rsidRPr="008A2CD3">
        <w:rPr>
          <w:rFonts w:ascii="Arial" w:hAnsi="Arial" w:cs="Arial"/>
          <w:b/>
          <w:sz w:val="20"/>
        </w:rPr>
        <w:t>Bioventus has adopted a threshold minimum of $</w:t>
      </w:r>
      <w:r w:rsidR="00540FE8" w:rsidRPr="008A2CD3">
        <w:rPr>
          <w:rFonts w:ascii="Arial" w:hAnsi="Arial" w:cs="Arial"/>
          <w:b/>
          <w:sz w:val="20"/>
        </w:rPr>
        <w:t>2</w:t>
      </w:r>
      <w:r w:rsidRPr="008A2CD3">
        <w:rPr>
          <w:rFonts w:ascii="Arial" w:hAnsi="Arial" w:cs="Arial"/>
          <w:b/>
          <w:sz w:val="20"/>
        </w:rPr>
        <w:t>0,000 for reporting out of period journal entries to the</w:t>
      </w:r>
      <w:r w:rsidR="00E9696D" w:rsidRPr="008A2CD3">
        <w:rPr>
          <w:rFonts w:ascii="Arial" w:hAnsi="Arial" w:cs="Arial"/>
          <w:b/>
          <w:sz w:val="20"/>
        </w:rPr>
        <w:t xml:space="preserve"> </w:t>
      </w:r>
      <w:r w:rsidR="00E177D8" w:rsidRPr="008A2CD3">
        <w:rPr>
          <w:rFonts w:ascii="Arial" w:hAnsi="Arial" w:cs="Arial"/>
          <w:b/>
          <w:sz w:val="20"/>
        </w:rPr>
        <w:t>Dir, TA</w:t>
      </w:r>
      <w:r w:rsidRPr="008A2CD3">
        <w:rPr>
          <w:rFonts w:ascii="Arial" w:hAnsi="Arial"/>
          <w:b/>
          <w:sz w:val="20"/>
        </w:rPr>
        <w:t xml:space="preserve">.  The </w:t>
      </w:r>
      <w:r w:rsidR="00E177D8" w:rsidRPr="008A2CD3">
        <w:rPr>
          <w:rFonts w:ascii="Arial" w:hAnsi="Arial" w:cs="Arial"/>
          <w:b/>
          <w:sz w:val="20"/>
        </w:rPr>
        <w:t>Dir, T</w:t>
      </w:r>
      <w:r w:rsidR="00E9696D" w:rsidRPr="008A2CD3">
        <w:rPr>
          <w:rFonts w:ascii="Arial" w:hAnsi="Arial" w:cs="Arial"/>
          <w:b/>
          <w:sz w:val="20"/>
        </w:rPr>
        <w:t>A</w:t>
      </w:r>
      <w:r w:rsidRPr="008A2CD3">
        <w:rPr>
          <w:rFonts w:ascii="Arial" w:hAnsi="Arial" w:cs="Arial"/>
          <w:b/>
          <w:sz w:val="20"/>
        </w:rPr>
        <w:t xml:space="preserve"> accumulates out of period adjustments by quarter and segment</w:t>
      </w:r>
      <w:r w:rsidR="0074196A" w:rsidRPr="008A2CD3">
        <w:rPr>
          <w:rFonts w:ascii="Arial" w:hAnsi="Arial" w:cs="Arial"/>
          <w:b/>
          <w:sz w:val="20"/>
        </w:rPr>
        <w:t xml:space="preserve"> for all quarters presented in public filings.  Quarterly the D</w:t>
      </w:r>
      <w:r w:rsidR="00E177D8" w:rsidRPr="008A2CD3">
        <w:rPr>
          <w:rFonts w:ascii="Arial" w:hAnsi="Arial" w:cs="Arial"/>
          <w:b/>
          <w:sz w:val="20"/>
        </w:rPr>
        <w:t>ir</w:t>
      </w:r>
      <w:r w:rsidR="007B2641">
        <w:rPr>
          <w:rFonts w:ascii="Arial" w:hAnsi="Arial" w:cs="Arial"/>
          <w:b/>
          <w:sz w:val="20"/>
        </w:rPr>
        <w:t xml:space="preserve"> of</w:t>
      </w:r>
      <w:r w:rsidR="00E177D8" w:rsidRPr="008A2CD3">
        <w:rPr>
          <w:rFonts w:ascii="Arial" w:hAnsi="Arial" w:cs="Arial"/>
          <w:b/>
          <w:sz w:val="20"/>
        </w:rPr>
        <w:t xml:space="preserve"> T</w:t>
      </w:r>
      <w:r w:rsidR="007E1130" w:rsidRPr="008A2CD3">
        <w:rPr>
          <w:rFonts w:ascii="Arial" w:hAnsi="Arial" w:cs="Arial"/>
          <w:b/>
          <w:sz w:val="20"/>
        </w:rPr>
        <w:t>A</w:t>
      </w:r>
      <w:r w:rsidR="00E177D8" w:rsidRPr="008A2CD3">
        <w:rPr>
          <w:rFonts w:ascii="Arial" w:hAnsi="Arial" w:cs="Arial"/>
          <w:b/>
          <w:sz w:val="20"/>
        </w:rPr>
        <w:t>, CAO</w:t>
      </w:r>
      <w:r w:rsidR="007B2641">
        <w:rPr>
          <w:rFonts w:ascii="Arial" w:hAnsi="Arial" w:cs="Arial"/>
          <w:b/>
          <w:sz w:val="20"/>
        </w:rPr>
        <w:t xml:space="preserve">, and Dir of </w:t>
      </w:r>
      <w:proofErr w:type="spellStart"/>
      <w:r w:rsidR="007B2641">
        <w:rPr>
          <w:rFonts w:ascii="Arial" w:hAnsi="Arial" w:cs="Arial"/>
          <w:b/>
          <w:sz w:val="20"/>
        </w:rPr>
        <w:t>Accounting</w:t>
      </w:r>
      <w:r w:rsidR="0074196A" w:rsidRPr="008A2CD3">
        <w:rPr>
          <w:rFonts w:ascii="Arial" w:hAnsi="Arial" w:cs="Arial"/>
          <w:b/>
          <w:sz w:val="20"/>
        </w:rPr>
        <w:t>review</w:t>
      </w:r>
      <w:proofErr w:type="spellEnd"/>
      <w:r w:rsidR="0074196A" w:rsidRPr="008A2CD3">
        <w:rPr>
          <w:rFonts w:ascii="Arial" w:hAnsi="Arial" w:cs="Arial"/>
          <w:b/>
          <w:sz w:val="20"/>
        </w:rPr>
        <w:t xml:space="preserve"> the out of period adjustments </w:t>
      </w:r>
      <w:r w:rsidRPr="008A2CD3">
        <w:rPr>
          <w:rFonts w:ascii="Arial" w:hAnsi="Arial" w:cs="Arial"/>
          <w:b/>
          <w:sz w:val="20"/>
        </w:rPr>
        <w:t xml:space="preserve">and </w:t>
      </w:r>
      <w:r w:rsidR="0074196A" w:rsidRPr="008A2CD3">
        <w:rPr>
          <w:rFonts w:ascii="Arial" w:hAnsi="Arial" w:cs="Arial"/>
          <w:b/>
          <w:sz w:val="20"/>
        </w:rPr>
        <w:t>determine if adjustments</w:t>
      </w:r>
      <w:r w:rsidR="0074196A">
        <w:rPr>
          <w:rFonts w:ascii="Arial" w:hAnsi="Arial" w:cs="Arial"/>
          <w:b/>
          <w:sz w:val="20"/>
        </w:rPr>
        <w:t xml:space="preserve"> are required. Proposed adjustments are presented to the CFO for approval</w:t>
      </w:r>
      <w:r w:rsidRPr="00D40588">
        <w:rPr>
          <w:rFonts w:ascii="Arial" w:hAnsi="Arial" w:cs="Arial"/>
          <w:b/>
          <w:sz w:val="20"/>
        </w:rPr>
        <w:t xml:space="preserve">.  </w:t>
      </w:r>
    </w:p>
    <w:p w14:paraId="6681BFC5" w14:textId="77777777" w:rsidR="00DF7DFD" w:rsidRDefault="00DF7DFD" w:rsidP="003D12FE">
      <w:pPr>
        <w:spacing w:line="0" w:lineRule="atLeast"/>
        <w:jc w:val="both"/>
        <w:rPr>
          <w:rFonts w:ascii="Arial" w:hAnsi="Arial" w:cs="Arial"/>
          <w:sz w:val="20"/>
        </w:rPr>
      </w:pPr>
    </w:p>
    <w:p w14:paraId="1AA6D238" w14:textId="77777777" w:rsidR="00DF7DFD" w:rsidRDefault="00F62BB8" w:rsidP="003D12FE">
      <w:pPr>
        <w:pStyle w:val="Heading2"/>
        <w:numPr>
          <w:ilvl w:val="1"/>
          <w:numId w:val="2"/>
        </w:numPr>
        <w:tabs>
          <w:tab w:val="clear" w:pos="1440"/>
          <w:tab w:val="clear" w:pos="2880"/>
          <w:tab w:val="clear" w:pos="4395"/>
          <w:tab w:val="clear" w:pos="5760"/>
          <w:tab w:val="clear" w:pos="7560"/>
          <w:tab w:val="num" w:pos="360"/>
        </w:tabs>
        <w:spacing w:line="0" w:lineRule="atLeast"/>
        <w:ind w:left="660"/>
        <w:rPr>
          <w:rFonts w:ascii="Century Gothic" w:hAnsi="Century Gothic" w:cs="Arial"/>
          <w:sz w:val="20"/>
        </w:rPr>
      </w:pPr>
      <w:bookmarkStart w:id="20" w:name="_Consolidation"/>
      <w:bookmarkStart w:id="21" w:name="_Toc217460894"/>
      <w:bookmarkStart w:id="22" w:name="_Toc308509433"/>
      <w:bookmarkEnd w:id="20"/>
      <w:r>
        <w:rPr>
          <w:rFonts w:ascii="Century Gothic" w:hAnsi="Century Gothic" w:cs="Arial"/>
          <w:sz w:val="20"/>
        </w:rPr>
        <w:t>Consolidation</w:t>
      </w:r>
      <w:bookmarkEnd w:id="21"/>
      <w:bookmarkEnd w:id="22"/>
    </w:p>
    <w:p w14:paraId="0CDB662B" w14:textId="6D0C3E7F" w:rsidR="00DF7DFD" w:rsidRDefault="00F62BB8" w:rsidP="003D12FE">
      <w:pPr>
        <w:spacing w:line="0" w:lineRule="atLeast"/>
        <w:ind w:left="360"/>
        <w:rPr>
          <w:rFonts w:ascii="Arial" w:hAnsi="Arial" w:cs="Arial"/>
          <w:sz w:val="20"/>
        </w:rPr>
      </w:pPr>
      <w:r>
        <w:rPr>
          <w:rFonts w:ascii="Arial" w:hAnsi="Arial" w:cs="Arial"/>
          <w:sz w:val="20"/>
        </w:rPr>
        <w:t>Consolidation involves currency translation, combination of Bioventus</w:t>
      </w:r>
      <w:r w:rsidR="00CF5189">
        <w:rPr>
          <w:rFonts w:ascii="Arial" w:hAnsi="Arial" w:cs="Arial"/>
          <w:sz w:val="20"/>
        </w:rPr>
        <w:t>,</w:t>
      </w:r>
      <w:r>
        <w:rPr>
          <w:rFonts w:ascii="Arial" w:hAnsi="Arial" w:cs="Arial"/>
          <w:sz w:val="20"/>
        </w:rPr>
        <w:t xml:space="preserve"> its subsidiaries</w:t>
      </w:r>
      <w:r w:rsidR="00CF5189">
        <w:rPr>
          <w:rFonts w:ascii="Arial" w:hAnsi="Arial" w:cs="Arial"/>
          <w:sz w:val="20"/>
        </w:rPr>
        <w:t xml:space="preserve"> and controlled investments</w:t>
      </w:r>
      <w:r>
        <w:rPr>
          <w:rFonts w:ascii="Arial" w:hAnsi="Arial" w:cs="Arial"/>
          <w:sz w:val="20"/>
        </w:rPr>
        <w:t xml:space="preserve"> and elimination of intra-company transactions and balances as well as unrealized profits.</w:t>
      </w:r>
      <w:r w:rsidR="00EC6757" w:rsidRPr="00EC6757">
        <w:rPr>
          <w:rFonts w:ascii="Arial" w:hAnsi="Arial" w:cs="Arial"/>
          <w:sz w:val="20"/>
        </w:rPr>
        <w:t xml:space="preserve"> </w:t>
      </w:r>
      <w:r w:rsidR="00EC6757">
        <w:rPr>
          <w:rFonts w:ascii="Arial" w:hAnsi="Arial" w:cs="Arial"/>
          <w:sz w:val="20"/>
        </w:rPr>
        <w:t>The results of non-U.S. dollar subsidiaries operations are translated into U.S. dollars at the transaction date.  The assets and liabilities of such companies are translated at the period-end rates.  Exchange differences on opening net assets and results are tracked separately on an entity basis.  The translation gains (losses) are accumulated within accumulated other comprehensive income (</w:t>
      </w:r>
      <w:proofErr w:type="gramStart"/>
      <w:r w:rsidR="00EC6757">
        <w:rPr>
          <w:rFonts w:ascii="Arial" w:hAnsi="Arial" w:cs="Arial"/>
          <w:sz w:val="20"/>
        </w:rPr>
        <w:t>loss</w:t>
      </w:r>
      <w:proofErr w:type="gramEnd"/>
      <w:r w:rsidR="00EC6757">
        <w:rPr>
          <w:rFonts w:ascii="Arial" w:hAnsi="Arial" w:cs="Arial"/>
          <w:sz w:val="20"/>
        </w:rPr>
        <w:t>) as a separate component of equity.</w:t>
      </w:r>
    </w:p>
    <w:p w14:paraId="57EB3F75" w14:textId="77777777" w:rsidR="00DF7DFD" w:rsidRDefault="00DF7DFD" w:rsidP="003D12FE">
      <w:pPr>
        <w:spacing w:line="0" w:lineRule="atLeast"/>
        <w:ind w:left="360" w:hanging="360"/>
        <w:rPr>
          <w:rFonts w:ascii="Arial" w:hAnsi="Arial" w:cs="Arial"/>
          <w:sz w:val="20"/>
        </w:rPr>
      </w:pPr>
    </w:p>
    <w:p w14:paraId="4FB2184F" w14:textId="69F256A7" w:rsidR="00016D48" w:rsidRDefault="00F62BB8" w:rsidP="003D12FE">
      <w:pPr>
        <w:spacing w:line="0" w:lineRule="atLeast"/>
        <w:ind w:left="360"/>
        <w:rPr>
          <w:rFonts w:ascii="Arial" w:hAnsi="Arial" w:cs="Arial"/>
          <w:sz w:val="20"/>
        </w:rPr>
      </w:pPr>
      <w:r>
        <w:rPr>
          <w:rFonts w:ascii="Arial" w:hAnsi="Arial" w:cs="Arial"/>
          <w:sz w:val="20"/>
        </w:rPr>
        <w:t>Where a</w:t>
      </w:r>
      <w:r w:rsidR="00DD187C">
        <w:rPr>
          <w:rFonts w:ascii="Arial" w:hAnsi="Arial" w:cs="Arial"/>
          <w:sz w:val="20"/>
        </w:rPr>
        <w:t xml:space="preserve">n entity </w:t>
      </w:r>
      <w:r>
        <w:rPr>
          <w:rFonts w:ascii="Arial" w:hAnsi="Arial" w:cs="Arial"/>
          <w:sz w:val="20"/>
        </w:rPr>
        <w:t xml:space="preserve">is classified as a </w:t>
      </w:r>
      <w:r w:rsidR="00A2003B">
        <w:rPr>
          <w:rFonts w:ascii="Arial" w:hAnsi="Arial" w:cs="Arial"/>
          <w:sz w:val="20"/>
        </w:rPr>
        <w:t xml:space="preserve">wholly owned </w:t>
      </w:r>
      <w:r>
        <w:rPr>
          <w:rFonts w:ascii="Arial" w:hAnsi="Arial" w:cs="Arial"/>
          <w:sz w:val="20"/>
        </w:rPr>
        <w:t>subsidiary of Bioventus</w:t>
      </w:r>
      <w:r w:rsidR="00B20221">
        <w:rPr>
          <w:rFonts w:ascii="Arial" w:hAnsi="Arial" w:cs="Arial"/>
          <w:sz w:val="20"/>
        </w:rPr>
        <w:t xml:space="preserve"> or </w:t>
      </w:r>
      <w:r w:rsidR="00B20221" w:rsidRPr="00B20221">
        <w:rPr>
          <w:rFonts w:ascii="Arial" w:hAnsi="Arial" w:cs="Arial"/>
          <w:sz w:val="20"/>
        </w:rPr>
        <w:t>investments in which the Company has control</w:t>
      </w:r>
      <w:r>
        <w:rPr>
          <w:rFonts w:ascii="Arial" w:hAnsi="Arial" w:cs="Arial"/>
          <w:sz w:val="20"/>
        </w:rPr>
        <w:t xml:space="preserve">, the Company will consolidate its assets and liabilities and results as if they were its own.  </w:t>
      </w:r>
      <w:r w:rsidR="00016D48" w:rsidRPr="00016D48">
        <w:rPr>
          <w:rFonts w:ascii="Arial" w:hAnsi="Arial" w:cs="Arial"/>
          <w:sz w:val="20"/>
        </w:rPr>
        <w:t xml:space="preserve">Amounts pertaining to the non-controlling ownership interests held by third parties in the operating results and financial position of the Company’s controlled subsidiaries are reported as non-controlling interests. </w:t>
      </w:r>
    </w:p>
    <w:p w14:paraId="13140FD3" w14:textId="77777777" w:rsidR="00016D48" w:rsidRDefault="00016D48" w:rsidP="003D12FE">
      <w:pPr>
        <w:spacing w:line="0" w:lineRule="atLeast"/>
        <w:ind w:left="360"/>
        <w:rPr>
          <w:rFonts w:ascii="Arial" w:hAnsi="Arial" w:cs="Arial"/>
          <w:sz w:val="20"/>
        </w:rPr>
      </w:pPr>
    </w:p>
    <w:p w14:paraId="306D842F" w14:textId="11CDB93D" w:rsidR="00016D48" w:rsidRPr="00DD187C" w:rsidRDefault="00016D48" w:rsidP="003D12FE">
      <w:pPr>
        <w:spacing w:line="0" w:lineRule="atLeast"/>
        <w:ind w:left="360"/>
        <w:rPr>
          <w:rFonts w:ascii="Arial" w:hAnsi="Arial" w:cs="Arial"/>
          <w:sz w:val="20"/>
          <w:u w:val="single"/>
        </w:rPr>
      </w:pPr>
      <w:r w:rsidRPr="00DD187C">
        <w:rPr>
          <w:rFonts w:ascii="Arial" w:hAnsi="Arial" w:cs="Arial"/>
          <w:sz w:val="20"/>
          <w:u w:val="single"/>
        </w:rPr>
        <w:t>Variable Interest Entity (VIE)</w:t>
      </w:r>
    </w:p>
    <w:p w14:paraId="251B40C5" w14:textId="002EF765" w:rsidR="00016D48" w:rsidRDefault="00016D48" w:rsidP="003D12FE">
      <w:pPr>
        <w:spacing w:line="0" w:lineRule="atLeast"/>
        <w:ind w:left="360"/>
        <w:rPr>
          <w:rFonts w:ascii="Arial" w:hAnsi="Arial" w:cs="Arial"/>
          <w:sz w:val="20"/>
        </w:rPr>
      </w:pPr>
      <w:r>
        <w:rPr>
          <w:rFonts w:ascii="Arial" w:hAnsi="Arial" w:cs="Arial"/>
          <w:sz w:val="20"/>
        </w:rPr>
        <w:t>The technical accounting team</w:t>
      </w:r>
      <w:r w:rsidRPr="00016D48">
        <w:rPr>
          <w:rFonts w:ascii="Arial" w:hAnsi="Arial" w:cs="Arial"/>
          <w:sz w:val="20"/>
        </w:rPr>
        <w:t xml:space="preserve"> reviews each investment and collaboration agreement to determine if </w:t>
      </w:r>
      <w:r w:rsidR="00DD187C">
        <w:rPr>
          <w:rFonts w:ascii="Arial" w:hAnsi="Arial" w:cs="Arial"/>
          <w:sz w:val="20"/>
        </w:rPr>
        <w:t xml:space="preserve">the Company </w:t>
      </w:r>
      <w:r w:rsidRPr="00016D48">
        <w:rPr>
          <w:rFonts w:ascii="Arial" w:hAnsi="Arial" w:cs="Arial"/>
          <w:sz w:val="20"/>
        </w:rPr>
        <w:t xml:space="preserve">has a variable interest in the entity. </w:t>
      </w:r>
      <w:r w:rsidR="00262BE8">
        <w:rPr>
          <w:rFonts w:ascii="Arial" w:hAnsi="Arial" w:cs="Arial"/>
          <w:sz w:val="20"/>
        </w:rPr>
        <w:t>If there is a variable interest,</w:t>
      </w:r>
      <w:r>
        <w:rPr>
          <w:rFonts w:ascii="Arial" w:hAnsi="Arial" w:cs="Arial"/>
          <w:sz w:val="20"/>
        </w:rPr>
        <w:t xml:space="preserve"> </w:t>
      </w:r>
      <w:r w:rsidR="00262BE8">
        <w:rPr>
          <w:rFonts w:ascii="Arial" w:hAnsi="Arial" w:cs="Arial"/>
          <w:sz w:val="20"/>
        </w:rPr>
        <w:t xml:space="preserve">we </w:t>
      </w:r>
      <w:r w:rsidR="002A704E">
        <w:rPr>
          <w:rFonts w:ascii="Arial" w:hAnsi="Arial" w:cs="Arial"/>
          <w:sz w:val="20"/>
        </w:rPr>
        <w:t>then</w:t>
      </w:r>
      <w:r w:rsidR="00262BE8">
        <w:rPr>
          <w:rFonts w:ascii="Arial" w:hAnsi="Arial" w:cs="Arial"/>
          <w:sz w:val="20"/>
        </w:rPr>
        <w:t xml:space="preserve"> </w:t>
      </w:r>
      <w:r>
        <w:rPr>
          <w:rFonts w:ascii="Arial" w:hAnsi="Arial" w:cs="Arial"/>
          <w:sz w:val="20"/>
        </w:rPr>
        <w:t xml:space="preserve">determine if </w:t>
      </w:r>
      <w:r w:rsidR="003F47F2">
        <w:rPr>
          <w:rFonts w:ascii="Arial" w:hAnsi="Arial" w:cs="Arial"/>
          <w:sz w:val="20"/>
        </w:rPr>
        <w:t>t</w:t>
      </w:r>
      <w:r w:rsidR="00262BE8">
        <w:rPr>
          <w:rFonts w:ascii="Arial" w:hAnsi="Arial" w:cs="Arial"/>
          <w:sz w:val="20"/>
        </w:rPr>
        <w:t>he Company is the</w:t>
      </w:r>
      <w:r>
        <w:rPr>
          <w:rFonts w:ascii="Arial" w:hAnsi="Arial" w:cs="Arial"/>
          <w:sz w:val="20"/>
        </w:rPr>
        <w:t xml:space="preserve"> </w:t>
      </w:r>
      <w:r w:rsidRPr="00016D48">
        <w:rPr>
          <w:rFonts w:ascii="Arial" w:hAnsi="Arial" w:cs="Arial"/>
          <w:sz w:val="20"/>
        </w:rPr>
        <w:t>primary beneficiary</w:t>
      </w:r>
      <w:r>
        <w:rPr>
          <w:rFonts w:ascii="Arial" w:hAnsi="Arial" w:cs="Arial"/>
          <w:sz w:val="20"/>
        </w:rPr>
        <w:t xml:space="preserve"> </w:t>
      </w:r>
      <w:r w:rsidRPr="00016D48">
        <w:rPr>
          <w:rFonts w:ascii="Arial" w:hAnsi="Arial" w:cs="Arial"/>
          <w:sz w:val="20"/>
        </w:rPr>
        <w:t xml:space="preserve">based on </w:t>
      </w:r>
      <w:r>
        <w:rPr>
          <w:rFonts w:ascii="Arial" w:hAnsi="Arial" w:cs="Arial"/>
          <w:sz w:val="20"/>
        </w:rPr>
        <w:t>the</w:t>
      </w:r>
      <w:r w:rsidRPr="00016D48">
        <w:rPr>
          <w:rFonts w:ascii="Arial" w:hAnsi="Arial" w:cs="Arial"/>
          <w:sz w:val="20"/>
        </w:rPr>
        <w:t xml:space="preserve"> </w:t>
      </w:r>
      <w:r>
        <w:rPr>
          <w:rFonts w:ascii="Arial" w:hAnsi="Arial" w:cs="Arial"/>
          <w:sz w:val="20"/>
        </w:rPr>
        <w:t>following</w:t>
      </w:r>
      <w:r w:rsidRPr="00016D48">
        <w:rPr>
          <w:rFonts w:ascii="Arial" w:hAnsi="Arial" w:cs="Arial"/>
          <w:sz w:val="20"/>
        </w:rPr>
        <w:t xml:space="preserve"> factors, including: </w:t>
      </w:r>
    </w:p>
    <w:p w14:paraId="2487D821" w14:textId="24D5866B" w:rsidR="00016D48" w:rsidRDefault="00262BE8" w:rsidP="003D12FE">
      <w:pPr>
        <w:pStyle w:val="ListParagraph"/>
        <w:numPr>
          <w:ilvl w:val="0"/>
          <w:numId w:val="41"/>
        </w:numPr>
        <w:spacing w:line="0" w:lineRule="atLeast"/>
        <w:rPr>
          <w:rFonts w:ascii="Arial" w:hAnsi="Arial" w:cs="Arial"/>
          <w:sz w:val="20"/>
        </w:rPr>
      </w:pPr>
      <w:r>
        <w:rPr>
          <w:rFonts w:ascii="Arial" w:hAnsi="Arial" w:cs="Arial"/>
          <w:sz w:val="20"/>
        </w:rPr>
        <w:t>W</w:t>
      </w:r>
      <w:r w:rsidR="00016D48" w:rsidRPr="00016D48">
        <w:rPr>
          <w:rFonts w:ascii="Arial" w:hAnsi="Arial" w:cs="Arial"/>
          <w:sz w:val="20"/>
        </w:rPr>
        <w:t xml:space="preserve">hich party has the power to direct the activities that most significantly affect the VIE’s economic performance, </w:t>
      </w:r>
    </w:p>
    <w:p w14:paraId="7AE0B40C" w14:textId="2E9272DB" w:rsidR="00016D48" w:rsidRDefault="00262BE8" w:rsidP="003D12FE">
      <w:pPr>
        <w:pStyle w:val="ListParagraph"/>
        <w:numPr>
          <w:ilvl w:val="0"/>
          <w:numId w:val="41"/>
        </w:numPr>
        <w:spacing w:line="0" w:lineRule="atLeast"/>
        <w:rPr>
          <w:rFonts w:ascii="Arial" w:hAnsi="Arial" w:cs="Arial"/>
          <w:sz w:val="20"/>
        </w:rPr>
      </w:pPr>
      <w:r>
        <w:rPr>
          <w:rFonts w:ascii="Arial" w:hAnsi="Arial" w:cs="Arial"/>
          <w:sz w:val="20"/>
        </w:rPr>
        <w:t>T</w:t>
      </w:r>
      <w:r w:rsidR="00016D48" w:rsidRPr="00016D48">
        <w:rPr>
          <w:rFonts w:ascii="Arial" w:hAnsi="Arial" w:cs="Arial"/>
          <w:sz w:val="20"/>
        </w:rPr>
        <w:t xml:space="preserve">he parties’ contractual rights and responsibilities pursuant to the collaboration agreement, and </w:t>
      </w:r>
    </w:p>
    <w:p w14:paraId="16AC8BED" w14:textId="434CF9B6" w:rsidR="00016D48" w:rsidRDefault="00262BE8" w:rsidP="003D12FE">
      <w:pPr>
        <w:pStyle w:val="ListParagraph"/>
        <w:numPr>
          <w:ilvl w:val="0"/>
          <w:numId w:val="41"/>
        </w:numPr>
        <w:spacing w:line="0" w:lineRule="atLeast"/>
        <w:rPr>
          <w:rFonts w:ascii="Arial" w:hAnsi="Arial" w:cs="Arial"/>
          <w:sz w:val="20"/>
        </w:rPr>
      </w:pPr>
      <w:r>
        <w:rPr>
          <w:rFonts w:ascii="Arial" w:hAnsi="Arial" w:cs="Arial"/>
          <w:sz w:val="20"/>
        </w:rPr>
        <w:t>W</w:t>
      </w:r>
      <w:r w:rsidR="00016D48" w:rsidRPr="00016D48">
        <w:rPr>
          <w:rFonts w:ascii="Arial" w:hAnsi="Arial" w:cs="Arial"/>
          <w:sz w:val="20"/>
        </w:rPr>
        <w:t xml:space="preserve">hich party has the obligation to absorb losses of or the right to receive benefits from the VIE that could be significant to the VIE. </w:t>
      </w:r>
    </w:p>
    <w:p w14:paraId="451A6032" w14:textId="77777777" w:rsidR="00016D48" w:rsidRDefault="00016D48" w:rsidP="003D12FE">
      <w:pPr>
        <w:spacing w:line="0" w:lineRule="atLeast"/>
        <w:ind w:left="360"/>
        <w:rPr>
          <w:rFonts w:ascii="Arial" w:hAnsi="Arial" w:cs="Arial"/>
          <w:sz w:val="20"/>
        </w:rPr>
      </w:pPr>
    </w:p>
    <w:p w14:paraId="7474C86D" w14:textId="7557B7F9" w:rsidR="00016D48" w:rsidRPr="00016D48" w:rsidRDefault="00016D48" w:rsidP="003D12FE">
      <w:pPr>
        <w:spacing w:line="0" w:lineRule="atLeast"/>
        <w:ind w:left="360"/>
        <w:rPr>
          <w:rFonts w:ascii="Arial" w:hAnsi="Arial" w:cs="Arial"/>
          <w:sz w:val="20"/>
        </w:rPr>
      </w:pPr>
      <w:r w:rsidRPr="00016D48">
        <w:rPr>
          <w:rFonts w:ascii="Arial" w:hAnsi="Arial" w:cs="Arial"/>
          <w:sz w:val="20"/>
        </w:rPr>
        <w:t xml:space="preserve">If </w:t>
      </w:r>
      <w:r>
        <w:rPr>
          <w:rFonts w:ascii="Arial" w:hAnsi="Arial" w:cs="Arial"/>
          <w:sz w:val="20"/>
        </w:rPr>
        <w:t>we are</w:t>
      </w:r>
      <w:r w:rsidRPr="00016D48">
        <w:rPr>
          <w:rFonts w:ascii="Arial" w:hAnsi="Arial" w:cs="Arial"/>
          <w:sz w:val="20"/>
        </w:rPr>
        <w:t xml:space="preserve"> the primary beneficiary of a VIE at the onset of the collaboration, the collaboration is treated as a business </w:t>
      </w:r>
      <w:r w:rsidR="008A2CD3" w:rsidRPr="00016D48">
        <w:rPr>
          <w:rFonts w:ascii="Arial" w:hAnsi="Arial" w:cs="Arial"/>
          <w:sz w:val="20"/>
        </w:rPr>
        <w:t>combination,</w:t>
      </w:r>
      <w:r w:rsidRPr="00016D48">
        <w:rPr>
          <w:rFonts w:ascii="Arial" w:hAnsi="Arial" w:cs="Arial"/>
          <w:sz w:val="20"/>
        </w:rPr>
        <w:t xml:space="preserve"> and </w:t>
      </w:r>
      <w:r>
        <w:rPr>
          <w:rFonts w:ascii="Arial" w:hAnsi="Arial" w:cs="Arial"/>
          <w:sz w:val="20"/>
        </w:rPr>
        <w:t xml:space="preserve">we </w:t>
      </w:r>
      <w:r w:rsidRPr="00016D48">
        <w:rPr>
          <w:rFonts w:ascii="Arial" w:hAnsi="Arial" w:cs="Arial"/>
          <w:sz w:val="20"/>
        </w:rPr>
        <w:t xml:space="preserve">consolidate the VIE. On a quarterly basis, </w:t>
      </w:r>
      <w:r w:rsidR="002A704E">
        <w:rPr>
          <w:rFonts w:ascii="Arial" w:hAnsi="Arial" w:cs="Arial"/>
          <w:sz w:val="20"/>
        </w:rPr>
        <w:t xml:space="preserve">we </w:t>
      </w:r>
      <w:r w:rsidRPr="00016D48">
        <w:rPr>
          <w:rFonts w:ascii="Arial" w:hAnsi="Arial" w:cs="Arial"/>
          <w:sz w:val="20"/>
        </w:rPr>
        <w:t xml:space="preserve">evaluate whether </w:t>
      </w:r>
      <w:r>
        <w:rPr>
          <w:rFonts w:ascii="Arial" w:hAnsi="Arial" w:cs="Arial"/>
          <w:sz w:val="20"/>
        </w:rPr>
        <w:t>we</w:t>
      </w:r>
      <w:r w:rsidRPr="00016D48">
        <w:rPr>
          <w:rFonts w:ascii="Arial" w:hAnsi="Arial" w:cs="Arial"/>
          <w:sz w:val="20"/>
        </w:rPr>
        <w:t xml:space="preserve"> continue to be the primary beneficiary. If </w:t>
      </w:r>
      <w:r>
        <w:rPr>
          <w:rFonts w:ascii="Arial" w:hAnsi="Arial" w:cs="Arial"/>
          <w:sz w:val="20"/>
        </w:rPr>
        <w:t>we are</w:t>
      </w:r>
      <w:r w:rsidRPr="00016D48">
        <w:rPr>
          <w:rFonts w:ascii="Arial" w:hAnsi="Arial" w:cs="Arial"/>
          <w:sz w:val="20"/>
        </w:rPr>
        <w:t xml:space="preserve"> no longer the primary beneficiary</w:t>
      </w:r>
      <w:r w:rsidR="00262BE8">
        <w:rPr>
          <w:rFonts w:ascii="Arial" w:hAnsi="Arial" w:cs="Arial"/>
          <w:sz w:val="20"/>
        </w:rPr>
        <w:t>,</w:t>
      </w:r>
      <w:r w:rsidRPr="00016D48">
        <w:rPr>
          <w:rFonts w:ascii="Arial" w:hAnsi="Arial" w:cs="Arial"/>
          <w:sz w:val="20"/>
        </w:rPr>
        <w:t xml:space="preserve"> </w:t>
      </w:r>
      <w:r w:rsidR="00251CE9">
        <w:rPr>
          <w:rFonts w:ascii="Arial" w:hAnsi="Arial" w:cs="Arial"/>
          <w:sz w:val="20"/>
        </w:rPr>
        <w:t xml:space="preserve">the VIE is </w:t>
      </w:r>
      <w:r w:rsidRPr="00016D48">
        <w:rPr>
          <w:rFonts w:ascii="Arial" w:hAnsi="Arial" w:cs="Arial"/>
          <w:sz w:val="20"/>
        </w:rPr>
        <w:t>deconsolidate</w:t>
      </w:r>
      <w:r w:rsidR="00251CE9">
        <w:rPr>
          <w:rFonts w:ascii="Arial" w:hAnsi="Arial" w:cs="Arial"/>
          <w:sz w:val="20"/>
        </w:rPr>
        <w:t>d</w:t>
      </w:r>
      <w:r>
        <w:rPr>
          <w:rFonts w:ascii="Arial" w:hAnsi="Arial" w:cs="Arial"/>
          <w:sz w:val="20"/>
        </w:rPr>
        <w:t xml:space="preserve"> </w:t>
      </w:r>
      <w:r w:rsidRPr="00016D48">
        <w:rPr>
          <w:rFonts w:ascii="Arial" w:hAnsi="Arial" w:cs="Arial"/>
          <w:sz w:val="20"/>
        </w:rPr>
        <w:t xml:space="preserve">in the </w:t>
      </w:r>
      <w:r w:rsidR="00262BE8" w:rsidRPr="00016D48">
        <w:rPr>
          <w:rFonts w:ascii="Arial" w:hAnsi="Arial" w:cs="Arial"/>
          <w:sz w:val="20"/>
        </w:rPr>
        <w:t>period the</w:t>
      </w:r>
      <w:r w:rsidRPr="00016D48">
        <w:rPr>
          <w:rFonts w:ascii="Arial" w:hAnsi="Arial" w:cs="Arial"/>
          <w:sz w:val="20"/>
        </w:rPr>
        <w:t xml:space="preserve"> determination is made.</w:t>
      </w:r>
    </w:p>
    <w:p w14:paraId="3F39F722" w14:textId="77777777" w:rsidR="00016D48" w:rsidRPr="00016D48" w:rsidRDefault="00016D48" w:rsidP="003D12FE">
      <w:pPr>
        <w:spacing w:line="0" w:lineRule="atLeast"/>
        <w:ind w:left="360"/>
        <w:rPr>
          <w:rFonts w:ascii="Arial" w:hAnsi="Arial" w:cs="Arial"/>
          <w:sz w:val="20"/>
        </w:rPr>
      </w:pPr>
    </w:p>
    <w:p w14:paraId="2497BEA1" w14:textId="77777777" w:rsidR="00016D48" w:rsidRPr="00D92854" w:rsidRDefault="00016D48" w:rsidP="003D12FE">
      <w:pPr>
        <w:spacing w:line="0" w:lineRule="atLeast"/>
        <w:ind w:left="360"/>
        <w:rPr>
          <w:rFonts w:ascii="Arial" w:hAnsi="Arial" w:cs="Arial"/>
          <w:sz w:val="20"/>
          <w:u w:val="single"/>
        </w:rPr>
      </w:pPr>
      <w:r w:rsidRPr="00D92854">
        <w:rPr>
          <w:rFonts w:ascii="Arial" w:hAnsi="Arial" w:cs="Arial"/>
          <w:sz w:val="20"/>
          <w:u w:val="single"/>
        </w:rPr>
        <w:t>Deconsolidation and discontinued operations</w:t>
      </w:r>
    </w:p>
    <w:p w14:paraId="37CBA844" w14:textId="330849FF" w:rsidR="00961B87" w:rsidRDefault="00961B87" w:rsidP="003D12FE">
      <w:pPr>
        <w:spacing w:line="0" w:lineRule="atLeast"/>
        <w:ind w:left="360"/>
        <w:rPr>
          <w:rFonts w:ascii="Arial" w:hAnsi="Arial" w:cs="Arial"/>
          <w:sz w:val="20"/>
        </w:rPr>
      </w:pPr>
      <w:r>
        <w:rPr>
          <w:rFonts w:ascii="Arial" w:hAnsi="Arial" w:cs="Arial"/>
          <w:sz w:val="20"/>
        </w:rPr>
        <w:t>R</w:t>
      </w:r>
      <w:r w:rsidR="00016D48" w:rsidRPr="00016D48">
        <w:rPr>
          <w:rFonts w:ascii="Arial" w:hAnsi="Arial" w:cs="Arial"/>
          <w:sz w:val="20"/>
        </w:rPr>
        <w:t>ecord a gain or loss on deconsolidation based on the difference on the deconsolidation date between</w:t>
      </w:r>
      <w:r w:rsidR="00262BE8">
        <w:rPr>
          <w:rFonts w:ascii="Arial" w:hAnsi="Arial" w:cs="Arial"/>
          <w:sz w:val="20"/>
        </w:rPr>
        <w:t>:</w:t>
      </w:r>
      <w:r w:rsidR="00016D48" w:rsidRPr="00016D48">
        <w:rPr>
          <w:rFonts w:ascii="Arial" w:hAnsi="Arial" w:cs="Arial"/>
          <w:sz w:val="20"/>
        </w:rPr>
        <w:t xml:space="preserve"> </w:t>
      </w:r>
    </w:p>
    <w:p w14:paraId="76943BA9" w14:textId="5C427BE6" w:rsidR="00961B87" w:rsidRDefault="00262BE8" w:rsidP="003D12FE">
      <w:pPr>
        <w:pStyle w:val="ListParagraph"/>
        <w:numPr>
          <w:ilvl w:val="0"/>
          <w:numId w:val="52"/>
        </w:numPr>
        <w:spacing w:line="0" w:lineRule="atLeast"/>
        <w:rPr>
          <w:rFonts w:ascii="Arial" w:hAnsi="Arial" w:cs="Arial"/>
          <w:sz w:val="20"/>
        </w:rPr>
      </w:pPr>
      <w:r>
        <w:rPr>
          <w:rFonts w:ascii="Arial" w:hAnsi="Arial" w:cs="Arial"/>
          <w:sz w:val="20"/>
        </w:rPr>
        <w:t>A</w:t>
      </w:r>
      <w:r w:rsidR="00016D48" w:rsidRPr="00961B87">
        <w:rPr>
          <w:rFonts w:ascii="Arial" w:hAnsi="Arial" w:cs="Arial"/>
          <w:sz w:val="20"/>
        </w:rPr>
        <w:t>ggregate of (a) the fair value of any consideration received, (b) the fair value of any retained noncontrolling investment in the former subsidiary</w:t>
      </w:r>
      <w:r w:rsidR="00D92854">
        <w:rPr>
          <w:rFonts w:ascii="Arial" w:hAnsi="Arial" w:cs="Arial"/>
          <w:sz w:val="20"/>
        </w:rPr>
        <w:t>,</w:t>
      </w:r>
      <w:r w:rsidR="00016D48" w:rsidRPr="00961B87">
        <w:rPr>
          <w:rFonts w:ascii="Arial" w:hAnsi="Arial" w:cs="Arial"/>
          <w:sz w:val="20"/>
        </w:rPr>
        <w:t xml:space="preserve"> and (c) the carrying amount of any noncontrolling interest in the subsidiary being deconsolidated, less </w:t>
      </w:r>
    </w:p>
    <w:p w14:paraId="6C78E3DA" w14:textId="5CDB63C5" w:rsidR="00016D48" w:rsidRPr="00961B87" w:rsidRDefault="00262BE8" w:rsidP="003D12FE">
      <w:pPr>
        <w:pStyle w:val="ListParagraph"/>
        <w:numPr>
          <w:ilvl w:val="0"/>
          <w:numId w:val="52"/>
        </w:numPr>
        <w:spacing w:line="0" w:lineRule="atLeast"/>
        <w:rPr>
          <w:rFonts w:ascii="Arial" w:hAnsi="Arial" w:cs="Arial"/>
          <w:sz w:val="20"/>
        </w:rPr>
      </w:pPr>
      <w:r>
        <w:rPr>
          <w:rFonts w:ascii="Arial" w:hAnsi="Arial" w:cs="Arial"/>
          <w:sz w:val="20"/>
        </w:rPr>
        <w:t>C</w:t>
      </w:r>
      <w:r w:rsidR="00016D48" w:rsidRPr="00961B87">
        <w:rPr>
          <w:rFonts w:ascii="Arial" w:hAnsi="Arial" w:cs="Arial"/>
          <w:sz w:val="20"/>
        </w:rPr>
        <w:t>arrying amount of the former subsidiary’s assets and liabilities.</w:t>
      </w:r>
    </w:p>
    <w:p w14:paraId="74CA1954" w14:textId="77777777" w:rsidR="00016D48" w:rsidRPr="00016D48" w:rsidRDefault="00016D48" w:rsidP="003D12FE">
      <w:pPr>
        <w:spacing w:line="0" w:lineRule="atLeast"/>
        <w:ind w:left="360"/>
        <w:rPr>
          <w:rFonts w:ascii="Arial" w:hAnsi="Arial" w:cs="Arial"/>
          <w:sz w:val="20"/>
        </w:rPr>
      </w:pPr>
    </w:p>
    <w:p w14:paraId="2D820CEC" w14:textId="04F7D4DF" w:rsidR="001E2638" w:rsidRDefault="00961B87" w:rsidP="003D12FE">
      <w:pPr>
        <w:spacing w:line="0" w:lineRule="atLeast"/>
        <w:ind w:left="360"/>
        <w:rPr>
          <w:rFonts w:ascii="Arial" w:hAnsi="Arial" w:cs="Arial"/>
          <w:sz w:val="20"/>
        </w:rPr>
      </w:pPr>
      <w:r>
        <w:rPr>
          <w:rFonts w:ascii="Arial" w:hAnsi="Arial" w:cs="Arial"/>
          <w:sz w:val="20"/>
        </w:rPr>
        <w:t>A</w:t>
      </w:r>
      <w:r w:rsidR="00016D48" w:rsidRPr="00016D48">
        <w:rPr>
          <w:rFonts w:ascii="Arial" w:hAnsi="Arial" w:cs="Arial"/>
          <w:sz w:val="20"/>
        </w:rPr>
        <w:t xml:space="preserve">ssess whether a deconsolidation is required to be presented as discontinued operations on the deconsolidation date. This assessment is based on </w:t>
      </w:r>
      <w:proofErr w:type="gramStart"/>
      <w:r w:rsidR="00016D48" w:rsidRPr="00016D48">
        <w:rPr>
          <w:rFonts w:ascii="Arial" w:hAnsi="Arial" w:cs="Arial"/>
          <w:sz w:val="20"/>
        </w:rPr>
        <w:t>if</w:t>
      </w:r>
      <w:proofErr w:type="gramEnd"/>
      <w:r w:rsidR="00016D48" w:rsidRPr="00016D48">
        <w:rPr>
          <w:rFonts w:ascii="Arial" w:hAnsi="Arial" w:cs="Arial"/>
          <w:sz w:val="20"/>
        </w:rPr>
        <w:t xml:space="preserve"> the deconsolidation represents a strategic shift that has or will have a major effect on operations or financial results. If the deconsolidation requires presentation as a discontinued operation on the deconsolidation date, or at any point during the one-year period following such date, present the former </w:t>
      </w:r>
      <w:r>
        <w:rPr>
          <w:rFonts w:ascii="Arial" w:hAnsi="Arial" w:cs="Arial"/>
          <w:sz w:val="20"/>
        </w:rPr>
        <w:t xml:space="preserve">entity or business </w:t>
      </w:r>
      <w:r w:rsidR="00016D48" w:rsidRPr="00016D48">
        <w:rPr>
          <w:rFonts w:ascii="Arial" w:hAnsi="Arial" w:cs="Arial"/>
          <w:sz w:val="20"/>
        </w:rPr>
        <w:t>as a discontinued operation in current and comparative period financial statements</w:t>
      </w:r>
      <w:r w:rsidR="00EC07A4" w:rsidRPr="00EC07A4">
        <w:rPr>
          <w:rFonts w:ascii="Arial" w:hAnsi="Arial" w:cs="Arial"/>
          <w:sz w:val="20"/>
        </w:rPr>
        <w:t>.</w:t>
      </w:r>
    </w:p>
    <w:p w14:paraId="32426077" w14:textId="77777777" w:rsidR="00DF7DFD" w:rsidRDefault="00DF7DFD" w:rsidP="003D12FE">
      <w:pPr>
        <w:spacing w:line="0" w:lineRule="atLeast"/>
        <w:ind w:left="360" w:hanging="360"/>
        <w:rPr>
          <w:rFonts w:ascii="Arial" w:hAnsi="Arial" w:cs="Arial"/>
          <w:sz w:val="20"/>
        </w:rPr>
      </w:pPr>
    </w:p>
    <w:p w14:paraId="1614927F" w14:textId="77777777" w:rsidR="00DF7DFD" w:rsidRDefault="00F62BB8" w:rsidP="003D12FE">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sz w:val="20"/>
        </w:rPr>
      </w:pPr>
      <w:bookmarkStart w:id="23" w:name="_Financial_Statement_Presentation"/>
      <w:bookmarkEnd w:id="23"/>
      <w:r>
        <w:rPr>
          <w:rFonts w:ascii="Century Gothic" w:hAnsi="Century Gothic" w:cs="Arial"/>
          <w:sz w:val="20"/>
        </w:rPr>
        <w:t xml:space="preserve">Financial Statement Presentation </w:t>
      </w:r>
    </w:p>
    <w:p w14:paraId="2E44CF94" w14:textId="77777777" w:rsidR="00DF7DFD" w:rsidRDefault="00DF7DFD" w:rsidP="003D12FE">
      <w:pPr>
        <w:pStyle w:val="ListParagraph"/>
        <w:spacing w:line="0" w:lineRule="atLeast"/>
        <w:ind w:left="360"/>
        <w:contextualSpacing/>
        <w:jc w:val="both"/>
        <w:rPr>
          <w:rFonts w:ascii="Century Gothic" w:hAnsi="Century Gothic" w:cs="Arial"/>
          <w:b/>
          <w:bCs/>
          <w:sz w:val="20"/>
          <w:szCs w:val="20"/>
        </w:rPr>
      </w:pPr>
    </w:p>
    <w:p w14:paraId="20DC3882" w14:textId="3B04CBC4" w:rsidR="00DF7DFD" w:rsidRDefault="00F62BB8" w:rsidP="003D12FE">
      <w:pPr>
        <w:pStyle w:val="ListParagraph"/>
        <w:spacing w:line="0" w:lineRule="atLeast"/>
        <w:ind w:left="360"/>
        <w:contextualSpacing/>
        <w:jc w:val="both"/>
        <w:rPr>
          <w:rFonts w:ascii="Century Gothic" w:hAnsi="Century Gothic" w:cs="Arial"/>
          <w:b/>
          <w:bCs/>
          <w:sz w:val="20"/>
          <w:szCs w:val="20"/>
        </w:rPr>
      </w:pPr>
      <w:bookmarkStart w:id="24" w:name="CashFlow"/>
      <w:r>
        <w:rPr>
          <w:rFonts w:ascii="Century Gothic" w:hAnsi="Century Gothic" w:cs="Arial"/>
          <w:b/>
          <w:bCs/>
          <w:sz w:val="20"/>
          <w:szCs w:val="20"/>
        </w:rPr>
        <w:t xml:space="preserve">3.1 Gross </w:t>
      </w:r>
      <w:r w:rsidR="00C02105">
        <w:rPr>
          <w:rFonts w:ascii="Century Gothic" w:hAnsi="Century Gothic" w:cs="Arial"/>
          <w:b/>
          <w:bCs/>
          <w:sz w:val="20"/>
          <w:szCs w:val="20"/>
        </w:rPr>
        <w:t>P</w:t>
      </w:r>
      <w:r>
        <w:rPr>
          <w:rFonts w:ascii="Century Gothic" w:hAnsi="Century Gothic" w:cs="Arial"/>
          <w:b/>
          <w:bCs/>
          <w:sz w:val="20"/>
          <w:szCs w:val="20"/>
        </w:rPr>
        <w:t>resentation for Statements of Cash Flows</w:t>
      </w:r>
    </w:p>
    <w:bookmarkEnd w:id="24"/>
    <w:p w14:paraId="5263551C" w14:textId="77777777" w:rsidR="00A20360" w:rsidRDefault="00A20360" w:rsidP="003D12FE">
      <w:pPr>
        <w:autoSpaceDE w:val="0"/>
        <w:autoSpaceDN w:val="0"/>
        <w:adjustRightInd w:val="0"/>
        <w:ind w:left="360"/>
        <w:rPr>
          <w:rFonts w:ascii="Arial" w:hAnsi="Arial" w:cs="Arial"/>
          <w:sz w:val="20"/>
        </w:rPr>
      </w:pPr>
      <w:r>
        <w:rPr>
          <w:rFonts w:ascii="Arial" w:hAnsi="Arial" w:cs="Arial"/>
          <w:sz w:val="20"/>
        </w:rPr>
        <w:t>The Company uses the indirect method of cash flow presentation.  This requires a reconciliation of net income to net cash flows from operating activities, which removes the effects of both of the following:</w:t>
      </w:r>
    </w:p>
    <w:p w14:paraId="47C501C4" w14:textId="77777777" w:rsidR="00A20360" w:rsidRDefault="00A20360" w:rsidP="003D12FE">
      <w:pPr>
        <w:numPr>
          <w:ilvl w:val="0"/>
          <w:numId w:val="21"/>
        </w:numPr>
        <w:rPr>
          <w:rFonts w:ascii="Arial" w:hAnsi="Arial" w:cs="Arial"/>
          <w:sz w:val="20"/>
        </w:rPr>
      </w:pPr>
      <w:r>
        <w:rPr>
          <w:rFonts w:ascii="Arial" w:hAnsi="Arial" w:cs="Arial"/>
          <w:sz w:val="20"/>
        </w:rPr>
        <w:t>All deferrals of past operating cash receipts and payments, and all accruals of expected future operating cash receipts and payments. For example, changes during the period in receivables and payables pertaining to operating activities</w:t>
      </w:r>
    </w:p>
    <w:p w14:paraId="6BE199F0" w14:textId="77777777" w:rsidR="00A20360" w:rsidRDefault="00A20360" w:rsidP="003D12FE">
      <w:pPr>
        <w:numPr>
          <w:ilvl w:val="0"/>
          <w:numId w:val="21"/>
        </w:numPr>
        <w:rPr>
          <w:rFonts w:ascii="Arial" w:hAnsi="Arial" w:cs="Arial"/>
          <w:sz w:val="20"/>
        </w:rPr>
      </w:pPr>
      <w:r>
        <w:rPr>
          <w:rFonts w:ascii="Arial" w:hAnsi="Arial" w:cs="Arial"/>
          <w:sz w:val="20"/>
        </w:rPr>
        <w:t>All items included in net income that do not affect operating cash receipts and payments. For example, all items for which cash effects are related to investing or financing activities (e.g., depreciation, amortization, and gains or losses on dispositions of long-lived assets)</w:t>
      </w:r>
    </w:p>
    <w:p w14:paraId="7DC9AA1D" w14:textId="77777777" w:rsidR="002A704E" w:rsidRDefault="002A704E" w:rsidP="003D12FE">
      <w:pPr>
        <w:autoSpaceDE w:val="0"/>
        <w:autoSpaceDN w:val="0"/>
        <w:adjustRightInd w:val="0"/>
        <w:ind w:left="360"/>
        <w:rPr>
          <w:rFonts w:ascii="Arial" w:hAnsi="Arial" w:cs="Arial"/>
          <w:sz w:val="20"/>
        </w:rPr>
      </w:pPr>
    </w:p>
    <w:p w14:paraId="48DB6EF1" w14:textId="79C460FC" w:rsidR="00A20360" w:rsidRDefault="00A20360" w:rsidP="003D12FE">
      <w:pPr>
        <w:autoSpaceDE w:val="0"/>
        <w:autoSpaceDN w:val="0"/>
        <w:adjustRightInd w:val="0"/>
        <w:ind w:left="360"/>
        <w:rPr>
          <w:rFonts w:ascii="Georgia" w:hAnsi="Georgia" w:cs="Georgia"/>
          <w:sz w:val="20"/>
        </w:rPr>
      </w:pPr>
      <w:r>
        <w:rPr>
          <w:rFonts w:ascii="Arial" w:hAnsi="Arial" w:cs="Arial"/>
          <w:sz w:val="20"/>
        </w:rPr>
        <w:t xml:space="preserve">Adjustments for </w:t>
      </w:r>
      <w:proofErr w:type="gramStart"/>
      <w:r>
        <w:rPr>
          <w:rFonts w:ascii="Arial" w:hAnsi="Arial" w:cs="Arial"/>
          <w:sz w:val="20"/>
        </w:rPr>
        <w:t>noncash</w:t>
      </w:r>
      <w:proofErr w:type="gramEnd"/>
      <w:r>
        <w:rPr>
          <w:rFonts w:ascii="Arial" w:hAnsi="Arial" w:cs="Arial"/>
          <w:sz w:val="20"/>
        </w:rPr>
        <w:t xml:space="preserve"> items in the reconciliation of net income to net cash flows from operating activities may include items such as:</w:t>
      </w:r>
    </w:p>
    <w:p w14:paraId="253BFCFA" w14:textId="0604A9C9" w:rsidR="00A20360" w:rsidRDefault="00A20360" w:rsidP="003D12FE">
      <w:pPr>
        <w:numPr>
          <w:ilvl w:val="0"/>
          <w:numId w:val="21"/>
        </w:numPr>
        <w:rPr>
          <w:rFonts w:ascii="Arial" w:hAnsi="Arial" w:cs="Arial"/>
          <w:sz w:val="20"/>
        </w:rPr>
      </w:pPr>
      <w:r>
        <w:rPr>
          <w:rFonts w:ascii="Arial" w:hAnsi="Arial" w:cs="Arial"/>
          <w:sz w:val="20"/>
        </w:rPr>
        <w:t xml:space="preserve">Depreciation and amortization relating to fixed assets, definite-lived intangible assets, </w:t>
      </w:r>
      <w:r w:rsidR="00861062">
        <w:rPr>
          <w:rFonts w:ascii="Arial" w:hAnsi="Arial" w:cs="Arial"/>
          <w:sz w:val="20"/>
        </w:rPr>
        <w:t xml:space="preserve">finance </w:t>
      </w:r>
      <w:r>
        <w:rPr>
          <w:rFonts w:ascii="Arial" w:hAnsi="Arial" w:cs="Arial"/>
          <w:sz w:val="20"/>
        </w:rPr>
        <w:t>leases, premiums, or discounts on debt (including debt issuance costs)</w:t>
      </w:r>
    </w:p>
    <w:p w14:paraId="0964CC1B" w14:textId="77777777" w:rsidR="00A20360" w:rsidRDefault="00A20360" w:rsidP="003D12FE">
      <w:pPr>
        <w:numPr>
          <w:ilvl w:val="0"/>
          <w:numId w:val="21"/>
        </w:numPr>
        <w:rPr>
          <w:rFonts w:ascii="Arial" w:hAnsi="Arial" w:cs="Arial"/>
          <w:sz w:val="20"/>
        </w:rPr>
      </w:pPr>
      <w:r>
        <w:rPr>
          <w:rFonts w:ascii="Arial" w:hAnsi="Arial" w:cs="Arial"/>
          <w:sz w:val="20"/>
        </w:rPr>
        <w:t>Provisions for bad debts and inventory</w:t>
      </w:r>
    </w:p>
    <w:p w14:paraId="7AF6CDA5" w14:textId="1FBD40BB" w:rsidR="00A20360" w:rsidRDefault="00DA3940" w:rsidP="003D12FE">
      <w:pPr>
        <w:numPr>
          <w:ilvl w:val="0"/>
          <w:numId w:val="21"/>
        </w:numPr>
        <w:rPr>
          <w:rFonts w:ascii="Arial" w:hAnsi="Arial" w:cs="Arial"/>
          <w:sz w:val="20"/>
        </w:rPr>
      </w:pPr>
      <w:r>
        <w:rPr>
          <w:rFonts w:ascii="Arial" w:hAnsi="Arial" w:cs="Arial"/>
          <w:sz w:val="20"/>
        </w:rPr>
        <w:t>Stock</w:t>
      </w:r>
      <w:r w:rsidR="00A20360">
        <w:rPr>
          <w:rFonts w:ascii="Arial" w:hAnsi="Arial" w:cs="Arial"/>
          <w:sz w:val="20"/>
        </w:rPr>
        <w:t>-based incentive compensation</w:t>
      </w:r>
    </w:p>
    <w:p w14:paraId="24F958B3" w14:textId="4FC610E1" w:rsidR="003A66D6" w:rsidRPr="003A66D6" w:rsidRDefault="00A20360" w:rsidP="003D12FE">
      <w:pPr>
        <w:numPr>
          <w:ilvl w:val="0"/>
          <w:numId w:val="21"/>
        </w:numPr>
        <w:rPr>
          <w:rFonts w:ascii="Arial" w:hAnsi="Arial" w:cs="Arial"/>
          <w:sz w:val="20"/>
        </w:rPr>
      </w:pPr>
      <w:r>
        <w:rPr>
          <w:rFonts w:ascii="Arial" w:hAnsi="Arial" w:cs="Arial"/>
          <w:sz w:val="20"/>
        </w:rPr>
        <w:t>Deferred income taxes</w:t>
      </w:r>
    </w:p>
    <w:p w14:paraId="43F35617" w14:textId="77777777" w:rsidR="00A20360" w:rsidRDefault="00A20360" w:rsidP="003D12FE">
      <w:pPr>
        <w:numPr>
          <w:ilvl w:val="0"/>
          <w:numId w:val="21"/>
        </w:numPr>
        <w:rPr>
          <w:rFonts w:ascii="Arial" w:hAnsi="Arial" w:cs="Arial"/>
          <w:sz w:val="20"/>
        </w:rPr>
      </w:pPr>
      <w:r>
        <w:rPr>
          <w:rFonts w:ascii="Arial" w:hAnsi="Arial" w:cs="Arial"/>
          <w:sz w:val="20"/>
        </w:rPr>
        <w:t>Impairment losses</w:t>
      </w:r>
    </w:p>
    <w:p w14:paraId="693A871F" w14:textId="77777777" w:rsidR="00A20360" w:rsidRDefault="00A20360" w:rsidP="003D12FE">
      <w:pPr>
        <w:numPr>
          <w:ilvl w:val="0"/>
          <w:numId w:val="21"/>
        </w:numPr>
        <w:rPr>
          <w:rFonts w:ascii="Arial" w:hAnsi="Arial" w:cs="Arial"/>
          <w:sz w:val="20"/>
        </w:rPr>
      </w:pPr>
      <w:r>
        <w:rPr>
          <w:rFonts w:ascii="Arial" w:hAnsi="Arial" w:cs="Arial"/>
          <w:sz w:val="20"/>
        </w:rPr>
        <w:t>Foreign currency transaction gains or losses</w:t>
      </w:r>
    </w:p>
    <w:p w14:paraId="055E9724" w14:textId="77777777" w:rsidR="00A20360" w:rsidRDefault="00A20360" w:rsidP="003D12FE">
      <w:pPr>
        <w:numPr>
          <w:ilvl w:val="0"/>
          <w:numId w:val="21"/>
        </w:numPr>
        <w:rPr>
          <w:rFonts w:ascii="Arial" w:hAnsi="Arial" w:cs="Arial"/>
          <w:sz w:val="20"/>
        </w:rPr>
      </w:pPr>
      <w:r>
        <w:rPr>
          <w:rFonts w:ascii="Arial" w:hAnsi="Arial" w:cs="Arial"/>
          <w:sz w:val="20"/>
        </w:rPr>
        <w:t>Gains or losses from the sale of long-lived assets or businesses</w:t>
      </w:r>
    </w:p>
    <w:p w14:paraId="18D9029E" w14:textId="77777777" w:rsidR="00A20360" w:rsidRDefault="00A20360" w:rsidP="003D12FE">
      <w:pPr>
        <w:numPr>
          <w:ilvl w:val="0"/>
          <w:numId w:val="21"/>
        </w:numPr>
        <w:rPr>
          <w:rFonts w:ascii="Arial" w:hAnsi="Arial" w:cs="Arial"/>
          <w:sz w:val="20"/>
        </w:rPr>
      </w:pPr>
      <w:r>
        <w:rPr>
          <w:rFonts w:ascii="Arial" w:hAnsi="Arial" w:cs="Arial"/>
          <w:sz w:val="20"/>
        </w:rPr>
        <w:t>Gains or losses from the settlement of asset retirement obligations</w:t>
      </w:r>
    </w:p>
    <w:p w14:paraId="58462643" w14:textId="77777777" w:rsidR="00A20360" w:rsidRDefault="00A20360" w:rsidP="003D12FE">
      <w:pPr>
        <w:numPr>
          <w:ilvl w:val="0"/>
          <w:numId w:val="21"/>
        </w:numPr>
        <w:rPr>
          <w:rFonts w:ascii="Arial" w:hAnsi="Arial" w:cs="Arial"/>
          <w:sz w:val="20"/>
        </w:rPr>
      </w:pPr>
      <w:r>
        <w:rPr>
          <w:rFonts w:ascii="Arial" w:hAnsi="Arial" w:cs="Arial"/>
          <w:sz w:val="20"/>
        </w:rPr>
        <w:t>Gains or losses from the extinguishment of debt</w:t>
      </w:r>
    </w:p>
    <w:p w14:paraId="1636C164" w14:textId="77777777" w:rsidR="00A20360" w:rsidRDefault="00A20360" w:rsidP="003D12FE">
      <w:pPr>
        <w:numPr>
          <w:ilvl w:val="0"/>
          <w:numId w:val="21"/>
        </w:numPr>
        <w:rPr>
          <w:rFonts w:ascii="Arial" w:hAnsi="Arial" w:cs="Arial"/>
          <w:sz w:val="20"/>
        </w:rPr>
      </w:pPr>
      <w:r>
        <w:rPr>
          <w:rFonts w:ascii="Arial" w:hAnsi="Arial" w:cs="Arial"/>
          <w:sz w:val="20"/>
        </w:rPr>
        <w:t xml:space="preserve">Contingent consideration </w:t>
      </w:r>
      <w:proofErr w:type="gramStart"/>
      <w:r>
        <w:rPr>
          <w:rFonts w:ascii="Arial" w:hAnsi="Arial" w:cs="Arial"/>
          <w:sz w:val="20"/>
        </w:rPr>
        <w:t>in excess of</w:t>
      </w:r>
      <w:proofErr w:type="gramEnd"/>
      <w:r>
        <w:rPr>
          <w:rFonts w:ascii="Arial" w:hAnsi="Arial" w:cs="Arial"/>
          <w:sz w:val="20"/>
        </w:rPr>
        <w:t xml:space="preserve"> original estimates</w:t>
      </w:r>
    </w:p>
    <w:p w14:paraId="4DA5E621" w14:textId="77777777" w:rsidR="00A20360" w:rsidRDefault="00A20360" w:rsidP="003D12FE">
      <w:pPr>
        <w:ind w:left="360"/>
        <w:rPr>
          <w:rFonts w:ascii="Arial" w:hAnsi="Arial" w:cs="Arial"/>
          <w:sz w:val="20"/>
        </w:rPr>
      </w:pPr>
    </w:p>
    <w:p w14:paraId="707A60CB" w14:textId="77777777" w:rsidR="00A20360" w:rsidRDefault="00A20360" w:rsidP="003D12FE">
      <w:pPr>
        <w:ind w:left="360"/>
        <w:rPr>
          <w:rFonts w:ascii="Arial" w:hAnsi="Arial" w:cs="Arial"/>
          <w:sz w:val="20"/>
        </w:rPr>
      </w:pPr>
      <w:r>
        <w:rPr>
          <w:rFonts w:ascii="Arial" w:hAnsi="Arial" w:cs="Arial"/>
          <w:sz w:val="20"/>
        </w:rPr>
        <w:t xml:space="preserve">Additionally, amounts of interest paid (net of amounts capitalized) and income taxes paid during the period must be disclosed.  The Company presents these amounts within the “Supplemental disclosure of cash flow information”, presented on the face of the statement of cash flows.  </w:t>
      </w:r>
    </w:p>
    <w:p w14:paraId="21E03FAA" w14:textId="77777777" w:rsidR="00A20360" w:rsidRDefault="00A20360" w:rsidP="003D12FE">
      <w:pPr>
        <w:ind w:left="360"/>
        <w:rPr>
          <w:rFonts w:ascii="Arial" w:hAnsi="Arial" w:cs="Arial"/>
          <w:sz w:val="20"/>
        </w:rPr>
      </w:pPr>
    </w:p>
    <w:p w14:paraId="32F7103C" w14:textId="77777777" w:rsidR="00A20360" w:rsidRDefault="00A20360" w:rsidP="003D12FE">
      <w:pPr>
        <w:ind w:left="360"/>
        <w:rPr>
          <w:rFonts w:ascii="Arial" w:hAnsi="Arial" w:cs="Arial"/>
          <w:sz w:val="20"/>
        </w:rPr>
      </w:pPr>
      <w:r>
        <w:rPr>
          <w:rFonts w:ascii="Arial" w:hAnsi="Arial" w:cs="Arial"/>
          <w:sz w:val="20"/>
        </w:rPr>
        <w:t>Also required is the separate disclosure of all investing or financing activities that do not result in cash flows.  Examples of the Company’s noncash financing activities, presented in the “Supplemental disclosure of noncash financing activities”, presented on the face of the statement of cash flows, are as follows:</w:t>
      </w:r>
    </w:p>
    <w:p w14:paraId="4B369F78" w14:textId="77777777" w:rsidR="00A20360" w:rsidRDefault="00A20360" w:rsidP="003D12FE">
      <w:pPr>
        <w:numPr>
          <w:ilvl w:val="0"/>
          <w:numId w:val="21"/>
        </w:numPr>
        <w:rPr>
          <w:rFonts w:ascii="Arial" w:hAnsi="Arial" w:cs="Arial"/>
          <w:sz w:val="20"/>
        </w:rPr>
      </w:pPr>
      <w:r>
        <w:rPr>
          <w:rFonts w:ascii="Arial" w:hAnsi="Arial" w:cs="Arial"/>
          <w:sz w:val="20"/>
        </w:rPr>
        <w:t>Notes payable, contingent consideration and other accrued liabilities for business acquisitions</w:t>
      </w:r>
    </w:p>
    <w:p w14:paraId="099097FD" w14:textId="38311087" w:rsidR="00A20360" w:rsidRDefault="00861062" w:rsidP="003D12FE">
      <w:pPr>
        <w:numPr>
          <w:ilvl w:val="0"/>
          <w:numId w:val="21"/>
        </w:numPr>
        <w:rPr>
          <w:rFonts w:ascii="Arial" w:hAnsi="Arial" w:cs="Arial"/>
          <w:sz w:val="20"/>
        </w:rPr>
      </w:pPr>
      <w:r>
        <w:rPr>
          <w:rFonts w:ascii="Arial" w:hAnsi="Arial" w:cs="Arial"/>
          <w:sz w:val="20"/>
        </w:rPr>
        <w:t xml:space="preserve">Finance </w:t>
      </w:r>
      <w:r w:rsidR="00A20360">
        <w:rPr>
          <w:rFonts w:ascii="Arial" w:hAnsi="Arial" w:cs="Arial"/>
          <w:sz w:val="20"/>
        </w:rPr>
        <w:t>lease obligations for purchase of property and equipment</w:t>
      </w:r>
    </w:p>
    <w:p w14:paraId="0B236CC7" w14:textId="77777777" w:rsidR="00A20360" w:rsidRDefault="00A20360" w:rsidP="003D12FE">
      <w:pPr>
        <w:numPr>
          <w:ilvl w:val="0"/>
          <w:numId w:val="21"/>
        </w:numPr>
        <w:rPr>
          <w:rFonts w:ascii="Arial" w:hAnsi="Arial" w:cs="Arial"/>
          <w:sz w:val="20"/>
        </w:rPr>
      </w:pPr>
      <w:r>
        <w:rPr>
          <w:rFonts w:ascii="Arial" w:hAnsi="Arial" w:cs="Arial"/>
          <w:sz w:val="20"/>
        </w:rPr>
        <w:t>Accounts payable for purchase of property and equipment and contingent consideration</w:t>
      </w:r>
    </w:p>
    <w:p w14:paraId="54F8FE71" w14:textId="1AEF0B25" w:rsidR="00C41F91" w:rsidRPr="00C41F91" w:rsidRDefault="00C41F91" w:rsidP="003D12FE">
      <w:pPr>
        <w:numPr>
          <w:ilvl w:val="0"/>
          <w:numId w:val="21"/>
        </w:numPr>
        <w:rPr>
          <w:rFonts w:ascii="Arial" w:hAnsi="Arial" w:cs="Arial"/>
          <w:sz w:val="20"/>
        </w:rPr>
      </w:pPr>
      <w:r w:rsidRPr="009D7A9F">
        <w:rPr>
          <w:rFonts w:ascii="Arial" w:hAnsi="Arial" w:cs="Arial"/>
          <w:sz w:val="20"/>
        </w:rPr>
        <w:t>Accrued distribution rights</w:t>
      </w:r>
    </w:p>
    <w:p w14:paraId="3842DE20" w14:textId="77777777" w:rsidR="00DF7DFD" w:rsidRDefault="00DF7DFD" w:rsidP="003D12FE">
      <w:pPr>
        <w:pStyle w:val="ListParagraph"/>
        <w:spacing w:line="0" w:lineRule="atLeast"/>
        <w:ind w:left="360"/>
        <w:contextualSpacing/>
        <w:jc w:val="both"/>
        <w:rPr>
          <w:rFonts w:ascii="Arial" w:hAnsi="Arial" w:cs="Arial"/>
          <w:b/>
          <w:sz w:val="20"/>
        </w:rPr>
      </w:pPr>
    </w:p>
    <w:p w14:paraId="7850453E" w14:textId="5E362785" w:rsidR="00DF7DFD" w:rsidRPr="002365A1" w:rsidRDefault="00F62BB8" w:rsidP="003D12FE">
      <w:pPr>
        <w:pStyle w:val="ListParagraph"/>
        <w:spacing w:line="0" w:lineRule="atLeast"/>
        <w:ind w:left="360"/>
        <w:contextualSpacing/>
        <w:jc w:val="both"/>
        <w:rPr>
          <w:rFonts w:ascii="Century Gothic" w:hAnsi="Century Gothic" w:cs="Arial"/>
          <w:b/>
          <w:bCs/>
          <w:sz w:val="20"/>
          <w:szCs w:val="20"/>
        </w:rPr>
      </w:pPr>
      <w:r>
        <w:rPr>
          <w:rFonts w:ascii="Century Gothic" w:hAnsi="Century Gothic" w:cs="Arial"/>
          <w:b/>
          <w:bCs/>
          <w:sz w:val="20"/>
          <w:szCs w:val="20"/>
        </w:rPr>
        <w:t xml:space="preserve">3.2 </w:t>
      </w:r>
      <w:bookmarkStart w:id="25" w:name="IncomeStmt"/>
      <w:r>
        <w:rPr>
          <w:rFonts w:ascii="Century Gothic" w:hAnsi="Century Gothic" w:cs="Arial"/>
          <w:b/>
          <w:bCs/>
          <w:sz w:val="20"/>
          <w:szCs w:val="20"/>
        </w:rPr>
        <w:t xml:space="preserve">Presentation of Statements of Comprehensive Income </w:t>
      </w:r>
      <w:bookmarkEnd w:id="25"/>
      <w:r w:rsidR="007478B1" w:rsidRPr="009D7A9F">
        <w:rPr>
          <w:rFonts w:ascii="Century Gothic" w:hAnsi="Century Gothic" w:cs="Arial"/>
          <w:b/>
          <w:bCs/>
          <w:sz w:val="20"/>
          <w:szCs w:val="20"/>
        </w:rPr>
        <w:t>and the Statement of Stockholders’ Equity</w:t>
      </w:r>
    </w:p>
    <w:p w14:paraId="111DAA39" w14:textId="77777777" w:rsidR="00A20360" w:rsidRDefault="00A20360" w:rsidP="003D12FE">
      <w:pPr>
        <w:autoSpaceDE w:val="0"/>
        <w:autoSpaceDN w:val="0"/>
        <w:adjustRightInd w:val="0"/>
        <w:ind w:left="360"/>
        <w:rPr>
          <w:rFonts w:ascii="Arial" w:hAnsi="Arial" w:cs="Arial"/>
          <w:sz w:val="20"/>
        </w:rPr>
      </w:pPr>
      <w:r>
        <w:rPr>
          <w:rFonts w:ascii="Arial" w:hAnsi="Arial" w:cs="Arial"/>
          <w:sz w:val="20"/>
        </w:rPr>
        <w:t>Comprehensive income/loss (shortened hereafter as income) includes net income and Other Comprehensive Income (OCI). OCI refers to revenues, expenses, gains, and losses that under U.S. GAAP are recorded as an element of members’ equity and are excluded from net income.  Examples of the Company’s OCI components are as follows:</w:t>
      </w:r>
    </w:p>
    <w:p w14:paraId="3A1804E7" w14:textId="53A9B5BA" w:rsidR="00A20360" w:rsidRDefault="00A20360" w:rsidP="003D12FE">
      <w:pPr>
        <w:numPr>
          <w:ilvl w:val="0"/>
          <w:numId w:val="21"/>
        </w:numPr>
        <w:rPr>
          <w:rFonts w:ascii="Arial" w:hAnsi="Arial" w:cs="Arial"/>
          <w:sz w:val="20"/>
        </w:rPr>
      </w:pPr>
      <w:r>
        <w:rPr>
          <w:rFonts w:ascii="Arial" w:hAnsi="Arial" w:cs="Arial"/>
          <w:sz w:val="20"/>
        </w:rPr>
        <w:t xml:space="preserve">Change in prior service cost and unrecognized </w:t>
      </w:r>
      <w:r w:rsidR="001367B1">
        <w:rPr>
          <w:rFonts w:ascii="Arial" w:hAnsi="Arial" w:cs="Arial"/>
          <w:sz w:val="20"/>
        </w:rPr>
        <w:t xml:space="preserve">gain or </w:t>
      </w:r>
      <w:r>
        <w:rPr>
          <w:rFonts w:ascii="Arial" w:hAnsi="Arial" w:cs="Arial"/>
          <w:sz w:val="20"/>
        </w:rPr>
        <w:t>loss for defined benefit plan adjustment</w:t>
      </w:r>
    </w:p>
    <w:p w14:paraId="4680F499" w14:textId="77777777" w:rsidR="00A20360" w:rsidRDefault="00A20360" w:rsidP="003D12FE">
      <w:pPr>
        <w:numPr>
          <w:ilvl w:val="0"/>
          <w:numId w:val="21"/>
        </w:numPr>
        <w:rPr>
          <w:rFonts w:ascii="Arial" w:hAnsi="Arial" w:cs="Arial"/>
          <w:sz w:val="20"/>
        </w:rPr>
      </w:pPr>
      <w:r>
        <w:rPr>
          <w:rFonts w:ascii="Arial" w:hAnsi="Arial" w:cs="Arial"/>
          <w:sz w:val="20"/>
        </w:rPr>
        <w:t>Change in foreign currency translation adjustments</w:t>
      </w:r>
    </w:p>
    <w:p w14:paraId="5E445FA9" w14:textId="77777777" w:rsidR="00540FE8" w:rsidRDefault="00540FE8" w:rsidP="003D12FE">
      <w:pPr>
        <w:pStyle w:val="ListParagraph"/>
        <w:spacing w:line="0" w:lineRule="atLeast"/>
        <w:ind w:left="360"/>
        <w:contextualSpacing/>
        <w:jc w:val="both"/>
        <w:rPr>
          <w:rFonts w:ascii="Century Gothic" w:hAnsi="Century Gothic" w:cs="Arial"/>
          <w:b/>
          <w:bCs/>
          <w:sz w:val="20"/>
          <w:szCs w:val="20"/>
        </w:rPr>
      </w:pPr>
    </w:p>
    <w:p w14:paraId="7C736216" w14:textId="639B7780" w:rsidR="00A20360" w:rsidRPr="009D7A9F" w:rsidRDefault="007478B1" w:rsidP="003D12FE">
      <w:pPr>
        <w:pStyle w:val="ListParagraph"/>
        <w:spacing w:line="0" w:lineRule="atLeast"/>
        <w:ind w:left="360"/>
        <w:contextualSpacing/>
        <w:jc w:val="both"/>
        <w:rPr>
          <w:rFonts w:ascii="Arial" w:hAnsi="Arial" w:cs="Arial"/>
          <w:sz w:val="20"/>
          <w:szCs w:val="20"/>
        </w:rPr>
      </w:pPr>
      <w:r w:rsidRPr="009D7A9F">
        <w:rPr>
          <w:rFonts w:ascii="Arial" w:hAnsi="Arial" w:cs="Arial"/>
          <w:sz w:val="20"/>
          <w:szCs w:val="20"/>
        </w:rPr>
        <w:t xml:space="preserve">The Statement of stockholders’ equity is prepared quarterly and illustrates a </w:t>
      </w:r>
      <w:proofErr w:type="spellStart"/>
      <w:r w:rsidRPr="009D7A9F">
        <w:rPr>
          <w:rFonts w:ascii="Arial" w:hAnsi="Arial" w:cs="Arial"/>
          <w:sz w:val="20"/>
          <w:szCs w:val="20"/>
        </w:rPr>
        <w:t>rollforward</w:t>
      </w:r>
      <w:proofErr w:type="spellEnd"/>
      <w:r w:rsidRPr="009D7A9F">
        <w:rPr>
          <w:rFonts w:ascii="Arial" w:hAnsi="Arial" w:cs="Arial"/>
          <w:sz w:val="20"/>
          <w:szCs w:val="20"/>
        </w:rPr>
        <w:t xml:space="preserve"> of equity activity such as:</w:t>
      </w:r>
    </w:p>
    <w:p w14:paraId="6933A671" w14:textId="3167002C" w:rsidR="007478B1" w:rsidRPr="009D7A9F" w:rsidRDefault="007478B1" w:rsidP="007478B1">
      <w:pPr>
        <w:pStyle w:val="ListParagraph"/>
        <w:numPr>
          <w:ilvl w:val="0"/>
          <w:numId w:val="68"/>
        </w:numPr>
        <w:spacing w:line="0" w:lineRule="atLeast"/>
        <w:contextualSpacing/>
        <w:jc w:val="both"/>
        <w:rPr>
          <w:rFonts w:ascii="Arial" w:hAnsi="Arial" w:cs="Arial"/>
          <w:sz w:val="20"/>
          <w:szCs w:val="20"/>
        </w:rPr>
      </w:pPr>
      <w:r w:rsidRPr="009D7A9F">
        <w:rPr>
          <w:rFonts w:ascii="Arial" w:hAnsi="Arial" w:cs="Arial"/>
          <w:sz w:val="20"/>
          <w:szCs w:val="20"/>
        </w:rPr>
        <w:t>Class A common stock issued from awards (number of shares and dollar value)</w:t>
      </w:r>
    </w:p>
    <w:p w14:paraId="7B50A6D6" w14:textId="41457568" w:rsidR="007478B1" w:rsidRPr="009D7A9F" w:rsidRDefault="007478B1" w:rsidP="007478B1">
      <w:pPr>
        <w:pStyle w:val="ListParagraph"/>
        <w:numPr>
          <w:ilvl w:val="0"/>
          <w:numId w:val="68"/>
        </w:numPr>
        <w:spacing w:line="0" w:lineRule="atLeast"/>
        <w:contextualSpacing/>
        <w:jc w:val="both"/>
        <w:rPr>
          <w:rFonts w:ascii="Arial" w:hAnsi="Arial" w:cs="Arial"/>
          <w:sz w:val="20"/>
          <w:szCs w:val="20"/>
        </w:rPr>
      </w:pPr>
      <w:r w:rsidRPr="009D7A9F">
        <w:rPr>
          <w:rFonts w:ascii="Arial" w:hAnsi="Arial" w:cs="Arial"/>
          <w:sz w:val="20"/>
          <w:szCs w:val="20"/>
        </w:rPr>
        <w:t>Class B common stock (no activity since IPO)</w:t>
      </w:r>
    </w:p>
    <w:p w14:paraId="3AA3B077" w14:textId="0F3F0A3F" w:rsidR="007478B1" w:rsidRPr="009D7A9F" w:rsidRDefault="007478B1" w:rsidP="007478B1">
      <w:pPr>
        <w:pStyle w:val="ListParagraph"/>
        <w:numPr>
          <w:ilvl w:val="0"/>
          <w:numId w:val="68"/>
        </w:numPr>
        <w:spacing w:line="0" w:lineRule="atLeast"/>
        <w:contextualSpacing/>
        <w:jc w:val="both"/>
        <w:rPr>
          <w:rFonts w:ascii="Arial" w:hAnsi="Arial" w:cs="Arial"/>
          <w:sz w:val="20"/>
          <w:szCs w:val="20"/>
        </w:rPr>
      </w:pPr>
      <w:r w:rsidRPr="009D7A9F">
        <w:rPr>
          <w:rFonts w:ascii="Arial" w:hAnsi="Arial" w:cs="Arial"/>
          <w:sz w:val="20"/>
          <w:szCs w:val="20"/>
        </w:rPr>
        <w:t>Additional paid-in capital (issuance of equity-based compensation awards, the corresponding compensation expense and tax withholdings on awards)</w:t>
      </w:r>
    </w:p>
    <w:p w14:paraId="7E041C26" w14:textId="2F7E0773" w:rsidR="007478B1" w:rsidRPr="009D7A9F" w:rsidRDefault="007478B1" w:rsidP="007478B1">
      <w:pPr>
        <w:pStyle w:val="ListParagraph"/>
        <w:numPr>
          <w:ilvl w:val="0"/>
          <w:numId w:val="68"/>
        </w:numPr>
        <w:spacing w:line="0" w:lineRule="atLeast"/>
        <w:contextualSpacing/>
        <w:jc w:val="both"/>
        <w:rPr>
          <w:rFonts w:ascii="Arial" w:hAnsi="Arial" w:cs="Arial"/>
          <w:sz w:val="20"/>
          <w:szCs w:val="20"/>
        </w:rPr>
      </w:pPr>
      <w:r w:rsidRPr="009D7A9F">
        <w:rPr>
          <w:rFonts w:ascii="Arial" w:hAnsi="Arial" w:cs="Arial"/>
          <w:sz w:val="20"/>
          <w:szCs w:val="20"/>
        </w:rPr>
        <w:t>Noncontrolling interest (income/loss, equity-based compensation, foreign currency translation adjustments allocated to NCI, other activity impact the NCI balance)</w:t>
      </w:r>
    </w:p>
    <w:p w14:paraId="1997CEDF" w14:textId="5A06B7AD" w:rsidR="007478B1" w:rsidRPr="009D7A9F" w:rsidRDefault="007478B1" w:rsidP="007478B1">
      <w:pPr>
        <w:pStyle w:val="ListParagraph"/>
        <w:numPr>
          <w:ilvl w:val="0"/>
          <w:numId w:val="68"/>
        </w:numPr>
        <w:spacing w:line="0" w:lineRule="atLeast"/>
        <w:contextualSpacing/>
        <w:jc w:val="both"/>
        <w:rPr>
          <w:rFonts w:ascii="Arial" w:hAnsi="Arial" w:cs="Arial"/>
          <w:sz w:val="20"/>
          <w:szCs w:val="20"/>
        </w:rPr>
      </w:pPr>
      <w:r w:rsidRPr="009D7A9F">
        <w:rPr>
          <w:rFonts w:ascii="Arial" w:hAnsi="Arial" w:cs="Arial"/>
          <w:sz w:val="20"/>
          <w:szCs w:val="20"/>
        </w:rPr>
        <w:t>Accumulated other comprehensive income impacted by the allocation of foreig</w:t>
      </w:r>
      <w:r w:rsidR="00C41F91" w:rsidRPr="009D7A9F">
        <w:rPr>
          <w:rFonts w:ascii="Arial" w:hAnsi="Arial" w:cs="Arial"/>
          <w:sz w:val="20"/>
          <w:szCs w:val="20"/>
        </w:rPr>
        <w:t>n currency translation to the Company</w:t>
      </w:r>
    </w:p>
    <w:p w14:paraId="2142E796" w14:textId="0ED4AA64" w:rsidR="00C41F91" w:rsidRPr="009D7A9F" w:rsidRDefault="00C41F91" w:rsidP="009D7A9F">
      <w:pPr>
        <w:pStyle w:val="ListParagraph"/>
        <w:numPr>
          <w:ilvl w:val="0"/>
          <w:numId w:val="68"/>
        </w:numPr>
        <w:spacing w:line="0" w:lineRule="atLeast"/>
        <w:contextualSpacing/>
        <w:jc w:val="both"/>
        <w:rPr>
          <w:rFonts w:ascii="Arial" w:hAnsi="Arial" w:cs="Arial"/>
          <w:sz w:val="20"/>
          <w:szCs w:val="20"/>
        </w:rPr>
      </w:pPr>
      <w:r w:rsidRPr="009D7A9F">
        <w:rPr>
          <w:rFonts w:ascii="Arial" w:hAnsi="Arial" w:cs="Arial"/>
          <w:sz w:val="20"/>
          <w:szCs w:val="20"/>
        </w:rPr>
        <w:t>Retained earnings (net income/loss)</w:t>
      </w:r>
    </w:p>
    <w:p w14:paraId="3DF2D3B2" w14:textId="77777777" w:rsidR="007478B1" w:rsidRDefault="007478B1" w:rsidP="003D12FE">
      <w:pPr>
        <w:pStyle w:val="ListParagraph"/>
        <w:spacing w:line="0" w:lineRule="atLeast"/>
        <w:ind w:left="360"/>
        <w:contextualSpacing/>
        <w:jc w:val="both"/>
        <w:rPr>
          <w:rFonts w:ascii="Century Gothic" w:hAnsi="Century Gothic" w:cs="Arial"/>
          <w:b/>
          <w:bCs/>
          <w:sz w:val="20"/>
          <w:szCs w:val="20"/>
        </w:rPr>
      </w:pPr>
    </w:p>
    <w:p w14:paraId="432994E2" w14:textId="6F599C1E" w:rsidR="00DF7DFD" w:rsidRPr="003D2116" w:rsidRDefault="00F62BB8" w:rsidP="003D12FE">
      <w:pPr>
        <w:pStyle w:val="ListParagraph"/>
        <w:spacing w:line="0" w:lineRule="atLeast"/>
        <w:ind w:left="360"/>
        <w:contextualSpacing/>
        <w:jc w:val="both"/>
        <w:rPr>
          <w:rFonts w:ascii="Century Gothic" w:hAnsi="Century Gothic" w:cs="Arial"/>
          <w:b/>
          <w:bCs/>
          <w:sz w:val="20"/>
          <w:szCs w:val="20"/>
        </w:rPr>
      </w:pPr>
      <w:r w:rsidRPr="003D2116">
        <w:rPr>
          <w:rFonts w:ascii="Century Gothic" w:hAnsi="Century Gothic" w:cs="Arial"/>
          <w:b/>
          <w:bCs/>
          <w:sz w:val="20"/>
          <w:szCs w:val="20"/>
        </w:rPr>
        <w:t xml:space="preserve">3.3 </w:t>
      </w:r>
      <w:bookmarkStart w:id="26" w:name="Disclosures"/>
      <w:r w:rsidRPr="003D2116">
        <w:rPr>
          <w:rFonts w:ascii="Century Gothic" w:hAnsi="Century Gothic" w:cs="Arial"/>
          <w:b/>
          <w:bCs/>
          <w:sz w:val="20"/>
          <w:szCs w:val="20"/>
        </w:rPr>
        <w:t>Consolidated Financial Statement Disclosures</w:t>
      </w:r>
    </w:p>
    <w:p w14:paraId="149F8332" w14:textId="06991A13" w:rsidR="00A20360" w:rsidRDefault="00A20360" w:rsidP="003D12FE">
      <w:pPr>
        <w:autoSpaceDE w:val="0"/>
        <w:autoSpaceDN w:val="0"/>
        <w:adjustRightInd w:val="0"/>
        <w:ind w:left="360"/>
        <w:rPr>
          <w:rFonts w:ascii="Arial" w:hAnsi="Arial" w:cs="Arial"/>
          <w:sz w:val="20"/>
        </w:rPr>
      </w:pPr>
      <w:r>
        <w:rPr>
          <w:rFonts w:ascii="Arial" w:hAnsi="Arial" w:cs="Arial"/>
          <w:sz w:val="20"/>
        </w:rPr>
        <w:t>The Company’s financial statement disclosures are prepared in accordance with U</w:t>
      </w:r>
      <w:r w:rsidR="001367B1">
        <w:rPr>
          <w:rFonts w:ascii="Arial" w:hAnsi="Arial" w:cs="Arial"/>
          <w:sz w:val="20"/>
        </w:rPr>
        <w:t>.</w:t>
      </w:r>
      <w:r>
        <w:rPr>
          <w:rFonts w:ascii="Arial" w:hAnsi="Arial" w:cs="Arial"/>
          <w:sz w:val="20"/>
        </w:rPr>
        <w:t>S</w:t>
      </w:r>
      <w:r w:rsidR="001367B1">
        <w:rPr>
          <w:rFonts w:ascii="Arial" w:hAnsi="Arial" w:cs="Arial"/>
          <w:sz w:val="20"/>
        </w:rPr>
        <w:t>.</w:t>
      </w:r>
      <w:r>
        <w:rPr>
          <w:rFonts w:ascii="Arial" w:hAnsi="Arial" w:cs="Arial"/>
          <w:sz w:val="20"/>
        </w:rPr>
        <w:t xml:space="preserve"> GAAP and SEC reporting requirements.  Disclosures should assist financial statement users in assessing both the Company’s historical performance and cash flow prospects. They should amplify information reported on the face of the financial </w:t>
      </w:r>
      <w:proofErr w:type="gramStart"/>
      <w:r>
        <w:rPr>
          <w:rFonts w:ascii="Arial" w:hAnsi="Arial" w:cs="Arial"/>
          <w:sz w:val="20"/>
        </w:rPr>
        <w:t>statements, and</w:t>
      </w:r>
      <w:proofErr w:type="gramEnd"/>
      <w:r>
        <w:rPr>
          <w:rFonts w:ascii="Arial" w:hAnsi="Arial" w:cs="Arial"/>
          <w:sz w:val="20"/>
        </w:rPr>
        <w:t xml:space="preserve"> focus users’ attention on matters that are most relevant to understanding those financial statement areas.  To that end, the Company’s footnote disclosures are structured to provide clarity about relevant policies and significant </w:t>
      </w:r>
      <w:proofErr w:type="gramStart"/>
      <w:r>
        <w:rPr>
          <w:rFonts w:ascii="Arial" w:hAnsi="Arial" w:cs="Arial"/>
          <w:sz w:val="20"/>
        </w:rPr>
        <w:t>transactions, and</w:t>
      </w:r>
      <w:proofErr w:type="gramEnd"/>
      <w:r>
        <w:rPr>
          <w:rFonts w:ascii="Arial" w:hAnsi="Arial" w:cs="Arial"/>
          <w:sz w:val="20"/>
        </w:rPr>
        <w:t xml:space="preserve"> are organized in a manner that eases financial statement navigation and understanding. </w:t>
      </w:r>
    </w:p>
    <w:p w14:paraId="4678C63E" w14:textId="77777777" w:rsidR="00A20360" w:rsidRDefault="00A20360" w:rsidP="003D12FE">
      <w:pPr>
        <w:autoSpaceDE w:val="0"/>
        <w:autoSpaceDN w:val="0"/>
        <w:adjustRightInd w:val="0"/>
        <w:ind w:left="360"/>
        <w:rPr>
          <w:rFonts w:ascii="Arial" w:hAnsi="Arial" w:cs="Arial"/>
          <w:sz w:val="20"/>
        </w:rPr>
      </w:pPr>
    </w:p>
    <w:p w14:paraId="225A1164" w14:textId="5E970D27" w:rsidR="00A20360" w:rsidRDefault="00A20360" w:rsidP="003D12FE">
      <w:pPr>
        <w:autoSpaceDE w:val="0"/>
        <w:autoSpaceDN w:val="0"/>
        <w:adjustRightInd w:val="0"/>
        <w:ind w:left="360"/>
        <w:rPr>
          <w:rFonts w:ascii="Arial" w:hAnsi="Arial" w:cs="Arial"/>
          <w:sz w:val="20"/>
        </w:rPr>
      </w:pPr>
      <w:r>
        <w:rPr>
          <w:rFonts w:ascii="Arial" w:hAnsi="Arial" w:cs="Arial"/>
          <w:sz w:val="20"/>
        </w:rPr>
        <w:t xml:space="preserve">For each section within Management’s Discussion and Analysis, and for the </w:t>
      </w:r>
      <w:r w:rsidR="00CA03A2">
        <w:rPr>
          <w:rFonts w:ascii="Arial" w:hAnsi="Arial" w:cs="Arial"/>
          <w:sz w:val="20"/>
        </w:rPr>
        <w:t>financial statements</w:t>
      </w:r>
      <w:r>
        <w:rPr>
          <w:rFonts w:ascii="Arial" w:hAnsi="Arial" w:cs="Arial"/>
          <w:sz w:val="20"/>
        </w:rPr>
        <w:t xml:space="preserve">, the preparer will prepare </w:t>
      </w:r>
      <w:r w:rsidR="00445D54">
        <w:rPr>
          <w:rFonts w:ascii="Arial" w:hAnsi="Arial" w:cs="Arial"/>
          <w:sz w:val="20"/>
        </w:rPr>
        <w:t>the “Disclosure Checklist”, a</w:t>
      </w:r>
      <w:r>
        <w:rPr>
          <w:rFonts w:ascii="Arial" w:hAnsi="Arial" w:cs="Arial"/>
          <w:sz w:val="20"/>
        </w:rPr>
        <w:t xml:space="preserve"> checklist of procedures designed to ensure the accuracy of each financial statement disclosure. </w:t>
      </w:r>
      <w:r w:rsidRPr="00B20221">
        <w:rPr>
          <w:rFonts w:ascii="Arial" w:hAnsi="Arial" w:cs="Arial"/>
          <w:sz w:val="20"/>
        </w:rPr>
        <w:t xml:space="preserve">The preparer will sign the checklist stating that to the best of his/her knowledge the disclosure is materially complete and accurate, nothing has been knowingly </w:t>
      </w:r>
      <w:proofErr w:type="gramStart"/>
      <w:r w:rsidRPr="00B20221">
        <w:rPr>
          <w:rFonts w:ascii="Arial" w:hAnsi="Arial" w:cs="Arial"/>
          <w:sz w:val="20"/>
        </w:rPr>
        <w:t>omitted</w:t>
      </w:r>
      <w:proofErr w:type="gramEnd"/>
      <w:r w:rsidRPr="00B20221">
        <w:rPr>
          <w:rFonts w:ascii="Arial" w:hAnsi="Arial" w:cs="Arial"/>
          <w:sz w:val="20"/>
        </w:rPr>
        <w:t xml:space="preserve"> and all controversial matters have been discussed and resolved with management.</w:t>
      </w:r>
    </w:p>
    <w:bookmarkEnd w:id="26"/>
    <w:p w14:paraId="63DFD176" w14:textId="77777777" w:rsidR="00915D31" w:rsidRDefault="00915D31" w:rsidP="00C96CD5">
      <w:pPr>
        <w:pStyle w:val="ListParagraph"/>
        <w:spacing w:line="0" w:lineRule="atLeast"/>
        <w:ind w:left="360"/>
        <w:contextualSpacing/>
        <w:jc w:val="both"/>
        <w:rPr>
          <w:rFonts w:ascii="Arial" w:hAnsi="Arial" w:cs="Arial"/>
          <w:sz w:val="20"/>
        </w:rPr>
      </w:pPr>
    </w:p>
    <w:p w14:paraId="76D564E0" w14:textId="7FAF09E6" w:rsidR="00DF7DFD" w:rsidRDefault="00F62BB8" w:rsidP="00DC178B">
      <w:pPr>
        <w:pStyle w:val="ListParagraph"/>
        <w:spacing w:line="0" w:lineRule="atLeast"/>
        <w:ind w:left="360"/>
        <w:contextualSpacing/>
        <w:jc w:val="both"/>
        <w:rPr>
          <w:rFonts w:ascii="Century Gothic" w:hAnsi="Century Gothic" w:cs="Arial"/>
          <w:b/>
          <w:bCs/>
          <w:sz w:val="20"/>
          <w:szCs w:val="20"/>
        </w:rPr>
      </w:pPr>
      <w:r>
        <w:rPr>
          <w:rFonts w:ascii="Century Gothic" w:hAnsi="Century Gothic" w:cs="Arial"/>
          <w:b/>
          <w:bCs/>
          <w:sz w:val="20"/>
          <w:szCs w:val="20"/>
        </w:rPr>
        <w:t xml:space="preserve">3.4 </w:t>
      </w:r>
      <w:bookmarkStart w:id="27" w:name="CreditRisk"/>
      <w:r>
        <w:rPr>
          <w:rFonts w:ascii="Century Gothic" w:hAnsi="Century Gothic" w:cs="Arial"/>
          <w:b/>
          <w:bCs/>
          <w:sz w:val="20"/>
          <w:szCs w:val="20"/>
        </w:rPr>
        <w:t>Concentration of Credit Risk</w:t>
      </w:r>
      <w:bookmarkEnd w:id="27"/>
    </w:p>
    <w:p w14:paraId="738BEC18" w14:textId="77777777" w:rsidR="00DF7DFD" w:rsidRDefault="00F62BB8" w:rsidP="00DC178B">
      <w:pPr>
        <w:ind w:left="360"/>
        <w:rPr>
          <w:rFonts w:ascii="Arial" w:hAnsi="Arial" w:cs="Arial"/>
          <w:sz w:val="20"/>
        </w:rPr>
      </w:pPr>
      <w:r>
        <w:rPr>
          <w:rFonts w:ascii="Arial" w:hAnsi="Arial" w:cs="Arial"/>
          <w:sz w:val="20"/>
        </w:rPr>
        <w:t>The following concentrations should be disclosed, including known group concentrations (</w:t>
      </w:r>
      <w:proofErr w:type="gramStart"/>
      <w:r>
        <w:rPr>
          <w:rFonts w:ascii="Arial" w:hAnsi="Arial" w:cs="Arial"/>
          <w:sz w:val="20"/>
        </w:rPr>
        <w:t>a number of</w:t>
      </w:r>
      <w:proofErr w:type="gramEnd"/>
      <w:r>
        <w:rPr>
          <w:rFonts w:ascii="Arial" w:hAnsi="Arial" w:cs="Arial"/>
          <w:sz w:val="20"/>
        </w:rPr>
        <w:t xml:space="preserve"> counterparties or items that have similar economic characteristics collectively expose the reporting entity to a particular kind of risk): </w:t>
      </w:r>
    </w:p>
    <w:p w14:paraId="59ED4556" w14:textId="77777777" w:rsidR="00DF7DFD" w:rsidRDefault="00F62BB8" w:rsidP="00DC178B">
      <w:pPr>
        <w:numPr>
          <w:ilvl w:val="0"/>
          <w:numId w:val="21"/>
        </w:numPr>
        <w:rPr>
          <w:rFonts w:ascii="Arial" w:hAnsi="Arial" w:cs="Arial"/>
          <w:sz w:val="20"/>
        </w:rPr>
      </w:pPr>
      <w:r>
        <w:rPr>
          <w:rFonts w:ascii="Arial" w:hAnsi="Arial" w:cs="Arial"/>
          <w:sz w:val="20"/>
        </w:rPr>
        <w:t xml:space="preserve">Revenue from </w:t>
      </w:r>
      <w:proofErr w:type="gramStart"/>
      <w:r>
        <w:rPr>
          <w:rFonts w:ascii="Arial" w:hAnsi="Arial" w:cs="Arial"/>
          <w:sz w:val="20"/>
        </w:rPr>
        <w:t>particular products</w:t>
      </w:r>
      <w:proofErr w:type="gramEnd"/>
      <w:r>
        <w:rPr>
          <w:rFonts w:ascii="Arial" w:hAnsi="Arial" w:cs="Arial"/>
          <w:sz w:val="20"/>
        </w:rPr>
        <w:t xml:space="preserve"> or services, or fund-raising events </w:t>
      </w:r>
      <w:r>
        <w:rPr>
          <w:rFonts w:ascii="Arial" w:hAnsi="Arial" w:cs="Arial"/>
          <w:sz w:val="20"/>
          <w:u w:val="single"/>
        </w:rPr>
        <w:t>&gt;</w:t>
      </w:r>
      <w:r>
        <w:rPr>
          <w:rFonts w:ascii="Arial" w:hAnsi="Arial" w:cs="Arial"/>
          <w:sz w:val="20"/>
        </w:rPr>
        <w:t xml:space="preserve"> 10% of total revenue. </w:t>
      </w:r>
    </w:p>
    <w:p w14:paraId="7E89CE61" w14:textId="77777777" w:rsidR="00DF7DFD" w:rsidRDefault="00F62BB8" w:rsidP="00DC178B">
      <w:pPr>
        <w:numPr>
          <w:ilvl w:val="0"/>
          <w:numId w:val="21"/>
        </w:numPr>
        <w:rPr>
          <w:rFonts w:ascii="Arial" w:hAnsi="Arial" w:cs="Arial"/>
          <w:sz w:val="20"/>
        </w:rPr>
      </w:pPr>
      <w:r>
        <w:rPr>
          <w:rFonts w:ascii="Arial" w:hAnsi="Arial" w:cs="Arial"/>
          <w:sz w:val="20"/>
        </w:rPr>
        <w:t xml:space="preserve">Sources of supply of materials, labor, or services, or of licenses or other rights used in operations that contribute to </w:t>
      </w:r>
      <w:r>
        <w:rPr>
          <w:rFonts w:ascii="Arial" w:hAnsi="Arial" w:cs="Arial"/>
          <w:sz w:val="20"/>
          <w:u w:val="single"/>
        </w:rPr>
        <w:t>&gt;</w:t>
      </w:r>
      <w:r>
        <w:rPr>
          <w:rFonts w:ascii="Arial" w:hAnsi="Arial" w:cs="Arial"/>
          <w:sz w:val="20"/>
        </w:rPr>
        <w:t xml:space="preserve"> 10% of total revenue. </w:t>
      </w:r>
    </w:p>
    <w:p w14:paraId="07BF4CCA" w14:textId="77777777" w:rsidR="00DF7DFD" w:rsidRDefault="00F62BB8" w:rsidP="00B5048D">
      <w:pPr>
        <w:numPr>
          <w:ilvl w:val="0"/>
          <w:numId w:val="21"/>
        </w:numPr>
        <w:rPr>
          <w:rFonts w:ascii="Arial" w:hAnsi="Arial" w:cs="Arial"/>
          <w:sz w:val="20"/>
        </w:rPr>
      </w:pPr>
      <w:r>
        <w:rPr>
          <w:rFonts w:ascii="Arial" w:hAnsi="Arial" w:cs="Arial"/>
          <w:sz w:val="20"/>
        </w:rPr>
        <w:t xml:space="preserve">Market or geographic area in which operations are conducted </w:t>
      </w:r>
      <w:r>
        <w:rPr>
          <w:rFonts w:ascii="Arial" w:hAnsi="Arial" w:cs="Arial"/>
          <w:sz w:val="20"/>
          <w:u w:val="single"/>
        </w:rPr>
        <w:t>&gt;</w:t>
      </w:r>
      <w:r>
        <w:rPr>
          <w:rFonts w:ascii="Arial" w:hAnsi="Arial" w:cs="Arial"/>
          <w:sz w:val="20"/>
        </w:rPr>
        <w:t xml:space="preserve"> 10% of the total Company. </w:t>
      </w:r>
    </w:p>
    <w:p w14:paraId="50F18413" w14:textId="77777777" w:rsidR="00DF7DFD" w:rsidRDefault="00F62BB8" w:rsidP="00B5048D">
      <w:pPr>
        <w:numPr>
          <w:ilvl w:val="0"/>
          <w:numId w:val="21"/>
        </w:numPr>
        <w:rPr>
          <w:rFonts w:ascii="Arial" w:hAnsi="Arial" w:cs="Arial"/>
          <w:sz w:val="20"/>
        </w:rPr>
      </w:pPr>
      <w:r>
        <w:rPr>
          <w:rFonts w:ascii="Arial" w:hAnsi="Arial" w:cs="Arial"/>
          <w:sz w:val="20"/>
        </w:rPr>
        <w:t xml:space="preserve">Financial instruments, and other concentrations not described above. </w:t>
      </w:r>
    </w:p>
    <w:p w14:paraId="5C64AA90" w14:textId="77777777" w:rsidR="00DF7DFD" w:rsidRDefault="00F62BB8" w:rsidP="00B5048D">
      <w:pPr>
        <w:numPr>
          <w:ilvl w:val="0"/>
          <w:numId w:val="21"/>
        </w:numPr>
        <w:rPr>
          <w:rFonts w:ascii="Arial" w:hAnsi="Arial" w:cs="Arial"/>
          <w:sz w:val="20"/>
        </w:rPr>
      </w:pPr>
      <w:r>
        <w:rPr>
          <w:rFonts w:ascii="Arial" w:hAnsi="Arial" w:cs="Arial"/>
          <w:sz w:val="20"/>
        </w:rPr>
        <w:t xml:space="preserve">Labor subject to collective bargaining agreements, (percentage of the labor force covered and separately those that will expire within one year). </w:t>
      </w:r>
    </w:p>
    <w:p w14:paraId="1CF0321A" w14:textId="77777777" w:rsidR="00DF7DFD" w:rsidRDefault="00F62BB8" w:rsidP="00B5048D">
      <w:pPr>
        <w:numPr>
          <w:ilvl w:val="0"/>
          <w:numId w:val="21"/>
        </w:numPr>
        <w:rPr>
          <w:rFonts w:ascii="Arial" w:hAnsi="Arial" w:cs="Arial"/>
          <w:sz w:val="20"/>
        </w:rPr>
      </w:pPr>
      <w:r>
        <w:rPr>
          <w:rFonts w:ascii="Arial" w:hAnsi="Arial" w:cs="Arial"/>
          <w:sz w:val="20"/>
        </w:rPr>
        <w:t xml:space="preserve">The carrying amounts of net assets and the geographic areas outside of the U.S. in which they are located </w:t>
      </w:r>
      <w:r>
        <w:rPr>
          <w:rFonts w:ascii="Arial" w:hAnsi="Arial" w:cs="Arial"/>
          <w:sz w:val="20"/>
          <w:u w:val="single"/>
        </w:rPr>
        <w:t>&gt;</w:t>
      </w:r>
      <w:r>
        <w:rPr>
          <w:rFonts w:ascii="Arial" w:hAnsi="Arial" w:cs="Arial"/>
          <w:sz w:val="20"/>
        </w:rPr>
        <w:t xml:space="preserve"> 10% of the total Company.</w:t>
      </w:r>
    </w:p>
    <w:p w14:paraId="241AEC33" w14:textId="59792192" w:rsidR="0068560B" w:rsidRDefault="0068560B">
      <w:pPr>
        <w:rPr>
          <w:rFonts w:ascii="Arial" w:hAnsi="Arial" w:cs="Arial"/>
          <w:b/>
          <w:sz w:val="20"/>
          <w:szCs w:val="24"/>
        </w:rPr>
      </w:pPr>
      <w:bookmarkStart w:id="28" w:name="NonGAAP"/>
    </w:p>
    <w:p w14:paraId="6661C9A2" w14:textId="46180F97" w:rsidR="001F7F00" w:rsidRDefault="001F7F00" w:rsidP="00B5048D">
      <w:pPr>
        <w:pStyle w:val="ListParagraph"/>
        <w:spacing w:line="0" w:lineRule="atLeast"/>
        <w:ind w:left="360"/>
        <w:contextualSpacing/>
        <w:jc w:val="both"/>
        <w:rPr>
          <w:rFonts w:ascii="Arial" w:hAnsi="Arial" w:cs="Arial"/>
          <w:b/>
          <w:sz w:val="20"/>
        </w:rPr>
      </w:pPr>
      <w:r>
        <w:rPr>
          <w:rFonts w:ascii="Arial" w:hAnsi="Arial" w:cs="Arial"/>
          <w:b/>
          <w:sz w:val="20"/>
        </w:rPr>
        <w:t>3.5 Non-GAAP Measures</w:t>
      </w:r>
    </w:p>
    <w:bookmarkEnd w:id="28"/>
    <w:p w14:paraId="50812F22" w14:textId="77777777" w:rsidR="001F7F00" w:rsidRPr="002213C4" w:rsidRDefault="001F7F00" w:rsidP="00B5048D">
      <w:pPr>
        <w:autoSpaceDE w:val="0"/>
        <w:autoSpaceDN w:val="0"/>
        <w:adjustRightInd w:val="0"/>
        <w:ind w:left="360"/>
        <w:rPr>
          <w:rFonts w:ascii="Arial" w:hAnsi="Arial" w:cs="Arial"/>
          <w:sz w:val="20"/>
        </w:rPr>
      </w:pPr>
      <w:r>
        <w:rPr>
          <w:rFonts w:ascii="Arial" w:hAnsi="Arial" w:cs="Arial"/>
          <w:sz w:val="20"/>
        </w:rPr>
        <w:t xml:space="preserve">The SEC defines non-GAAP measures as a numerical measure of a registrant’s historical or future financial performance, financial position or cash flows that </w:t>
      </w:r>
      <w:proofErr w:type="gramStart"/>
      <w:r>
        <w:rPr>
          <w:rFonts w:ascii="Arial" w:hAnsi="Arial" w:cs="Arial"/>
          <w:sz w:val="20"/>
        </w:rPr>
        <w:t>excludes</w:t>
      </w:r>
      <w:proofErr w:type="gramEnd"/>
      <w:r>
        <w:rPr>
          <w:rFonts w:ascii="Arial" w:hAnsi="Arial" w:cs="Arial"/>
          <w:sz w:val="20"/>
        </w:rPr>
        <w:t xml:space="preserve">/includes amounts (or is subject to adjustments that have the effect of excluding/including amounts) that are included/excluded from the most directly comparable GAAP measure.  </w:t>
      </w:r>
    </w:p>
    <w:p w14:paraId="06F9F8AE" w14:textId="77777777" w:rsidR="001F7F00" w:rsidRDefault="001F7F00" w:rsidP="00B5048D">
      <w:pPr>
        <w:pStyle w:val="ListParagraph"/>
        <w:spacing w:line="0" w:lineRule="atLeast"/>
        <w:ind w:left="360"/>
        <w:contextualSpacing/>
        <w:jc w:val="both"/>
        <w:rPr>
          <w:rFonts w:ascii="Arial" w:hAnsi="Arial" w:cs="Arial"/>
          <w:sz w:val="20"/>
        </w:rPr>
      </w:pPr>
    </w:p>
    <w:p w14:paraId="3EC5F012" w14:textId="1E657CC7" w:rsidR="001F7F00" w:rsidRDefault="001F7F00" w:rsidP="003D3AF0">
      <w:pPr>
        <w:pStyle w:val="ListParagraph"/>
        <w:spacing w:line="0" w:lineRule="atLeast"/>
        <w:ind w:left="360"/>
        <w:contextualSpacing/>
        <w:jc w:val="both"/>
        <w:rPr>
          <w:rFonts w:ascii="Arial" w:hAnsi="Arial" w:cs="Arial"/>
          <w:sz w:val="20"/>
        </w:rPr>
      </w:pPr>
      <w:r w:rsidRPr="002213C4">
        <w:rPr>
          <w:rFonts w:ascii="Arial" w:hAnsi="Arial" w:cs="Arial"/>
          <w:sz w:val="20"/>
        </w:rPr>
        <w:t xml:space="preserve">SEC rules </w:t>
      </w:r>
      <w:r w:rsidR="0040287A">
        <w:rPr>
          <w:rFonts w:ascii="Arial" w:hAnsi="Arial" w:cs="Arial"/>
          <w:sz w:val="20"/>
        </w:rPr>
        <w:t xml:space="preserve">for the presentation of non-GAAP financial information require additional disclosures </w:t>
      </w:r>
      <w:r w:rsidR="002E7AF1">
        <w:rPr>
          <w:rFonts w:ascii="Arial" w:hAnsi="Arial" w:cs="Arial"/>
          <w:sz w:val="20"/>
        </w:rPr>
        <w:t xml:space="preserve">including reconciliations </w:t>
      </w:r>
      <w:r w:rsidR="0040287A">
        <w:rPr>
          <w:rFonts w:ascii="Arial" w:hAnsi="Arial" w:cs="Arial"/>
          <w:sz w:val="20"/>
        </w:rPr>
        <w:t xml:space="preserve">and may limit or </w:t>
      </w:r>
      <w:r w:rsidRPr="002213C4">
        <w:rPr>
          <w:rFonts w:ascii="Arial" w:hAnsi="Arial" w:cs="Arial"/>
          <w:sz w:val="20"/>
        </w:rPr>
        <w:t xml:space="preserve">prohibit the presentation of </w:t>
      </w:r>
      <w:r w:rsidR="0040287A">
        <w:rPr>
          <w:rFonts w:ascii="Arial" w:hAnsi="Arial" w:cs="Arial"/>
          <w:sz w:val="20"/>
        </w:rPr>
        <w:t xml:space="preserve">certain </w:t>
      </w:r>
      <w:r>
        <w:rPr>
          <w:rFonts w:ascii="Arial" w:hAnsi="Arial" w:cs="Arial"/>
          <w:sz w:val="20"/>
        </w:rPr>
        <w:t xml:space="preserve">non-GAAP </w:t>
      </w:r>
      <w:r w:rsidR="0040287A">
        <w:rPr>
          <w:rFonts w:ascii="Arial" w:hAnsi="Arial" w:cs="Arial"/>
          <w:sz w:val="20"/>
        </w:rPr>
        <w:t xml:space="preserve">financial </w:t>
      </w:r>
      <w:r w:rsidRPr="002213C4">
        <w:rPr>
          <w:rFonts w:ascii="Arial" w:hAnsi="Arial" w:cs="Arial"/>
          <w:sz w:val="20"/>
        </w:rPr>
        <w:t>measures</w:t>
      </w:r>
      <w:r w:rsidR="002E7AF1">
        <w:rPr>
          <w:rFonts w:ascii="Arial" w:hAnsi="Arial" w:cs="Arial"/>
          <w:sz w:val="20"/>
        </w:rPr>
        <w:t xml:space="preserve"> such as liquidity per share</w:t>
      </w:r>
      <w:r>
        <w:rPr>
          <w:rFonts w:ascii="Arial" w:hAnsi="Arial" w:cs="Arial"/>
          <w:sz w:val="20"/>
        </w:rPr>
        <w:t xml:space="preserve">.  </w:t>
      </w:r>
    </w:p>
    <w:p w14:paraId="36709E48" w14:textId="07340D6E" w:rsidR="00EF6154" w:rsidRDefault="00EF6154" w:rsidP="003D3AF0">
      <w:pPr>
        <w:pStyle w:val="ListParagraph"/>
        <w:spacing w:line="0" w:lineRule="atLeast"/>
        <w:ind w:left="360"/>
        <w:contextualSpacing/>
        <w:jc w:val="both"/>
        <w:rPr>
          <w:rFonts w:ascii="Arial" w:hAnsi="Arial" w:cs="Arial"/>
          <w:sz w:val="20"/>
        </w:rPr>
      </w:pPr>
    </w:p>
    <w:p w14:paraId="68977B6F" w14:textId="77777777" w:rsidR="00241A2B" w:rsidRPr="002623C5" w:rsidRDefault="00241A2B" w:rsidP="00241A2B">
      <w:pPr>
        <w:pStyle w:val="ListParagraph"/>
        <w:spacing w:line="0" w:lineRule="atLeast"/>
        <w:ind w:left="360"/>
        <w:contextualSpacing/>
        <w:jc w:val="both"/>
        <w:rPr>
          <w:rFonts w:ascii="Arial" w:hAnsi="Arial" w:cs="Arial"/>
          <w:b/>
          <w:bCs/>
          <w:sz w:val="20"/>
          <w:u w:val="single"/>
        </w:rPr>
      </w:pPr>
      <w:r w:rsidRPr="002623C5">
        <w:rPr>
          <w:rFonts w:ascii="Arial" w:hAnsi="Arial" w:cs="Arial"/>
          <w:b/>
          <w:bCs/>
          <w:sz w:val="20"/>
          <w:u w:val="single"/>
        </w:rPr>
        <w:t xml:space="preserve">Approval of </w:t>
      </w:r>
      <w:r>
        <w:rPr>
          <w:rFonts w:ascii="Arial" w:hAnsi="Arial" w:cs="Arial"/>
          <w:b/>
          <w:bCs/>
          <w:sz w:val="20"/>
          <w:u w:val="single"/>
        </w:rPr>
        <w:t xml:space="preserve">Changes to </w:t>
      </w:r>
      <w:r w:rsidRPr="002623C5">
        <w:rPr>
          <w:rFonts w:ascii="Arial" w:hAnsi="Arial" w:cs="Arial"/>
          <w:b/>
          <w:bCs/>
          <w:sz w:val="20"/>
          <w:u w:val="single"/>
        </w:rPr>
        <w:t>Non-GAAP Measures</w:t>
      </w:r>
    </w:p>
    <w:p w14:paraId="16673A14" w14:textId="0BBB631E" w:rsidR="00241A2B" w:rsidRDefault="00241A2B" w:rsidP="00241A2B">
      <w:pPr>
        <w:pStyle w:val="ListParagraph"/>
        <w:spacing w:line="0" w:lineRule="atLeast"/>
        <w:ind w:left="360"/>
        <w:contextualSpacing/>
        <w:jc w:val="both"/>
        <w:rPr>
          <w:rFonts w:ascii="Arial" w:hAnsi="Arial" w:cs="Arial"/>
          <w:b/>
          <w:bCs/>
          <w:sz w:val="20"/>
        </w:rPr>
      </w:pPr>
      <w:r w:rsidRPr="002623C5">
        <w:rPr>
          <w:rFonts w:ascii="Arial" w:hAnsi="Arial" w:cs="Arial"/>
          <w:b/>
          <w:bCs/>
          <w:sz w:val="20"/>
        </w:rPr>
        <w:t xml:space="preserve">Prior to use, the </w:t>
      </w:r>
      <w:r w:rsidR="004F794B" w:rsidRPr="008A2CD3">
        <w:rPr>
          <w:rFonts w:ascii="Arial" w:hAnsi="Arial" w:cs="Arial"/>
          <w:b/>
          <w:bCs/>
          <w:sz w:val="20"/>
        </w:rPr>
        <w:t>CAO</w:t>
      </w:r>
      <w:r w:rsidRPr="008A2CD3">
        <w:rPr>
          <w:rFonts w:ascii="Arial" w:hAnsi="Arial" w:cs="Arial"/>
          <w:b/>
          <w:bCs/>
          <w:sz w:val="20"/>
        </w:rPr>
        <w:t xml:space="preserve"> and the</w:t>
      </w:r>
      <w:r w:rsidRPr="002623C5">
        <w:rPr>
          <w:rFonts w:ascii="Arial" w:hAnsi="Arial" w:cs="Arial"/>
          <w:b/>
          <w:bCs/>
          <w:sz w:val="20"/>
        </w:rPr>
        <w:t xml:space="preserve"> CFO will review and approve any new non-GAAP measures, or changes to existing non-GAAP measures.  Changes and additions </w:t>
      </w:r>
      <w:r>
        <w:rPr>
          <w:rFonts w:ascii="Arial" w:hAnsi="Arial" w:cs="Arial"/>
          <w:b/>
          <w:bCs/>
          <w:sz w:val="20"/>
        </w:rPr>
        <w:t>to</w:t>
      </w:r>
      <w:r w:rsidRPr="002623C5">
        <w:rPr>
          <w:rFonts w:ascii="Arial" w:hAnsi="Arial" w:cs="Arial"/>
          <w:b/>
          <w:bCs/>
          <w:sz w:val="20"/>
        </w:rPr>
        <w:t xml:space="preserve"> non-GAAP measures will then be presented to the disclosure committee for </w:t>
      </w:r>
      <w:r>
        <w:rPr>
          <w:rFonts w:ascii="Arial" w:hAnsi="Arial" w:cs="Arial"/>
          <w:b/>
          <w:bCs/>
          <w:sz w:val="20"/>
        </w:rPr>
        <w:t xml:space="preserve">final </w:t>
      </w:r>
      <w:r w:rsidRPr="002623C5">
        <w:rPr>
          <w:rFonts w:ascii="Arial" w:hAnsi="Arial" w:cs="Arial"/>
          <w:b/>
          <w:bCs/>
          <w:sz w:val="20"/>
        </w:rPr>
        <w:t>approval.</w:t>
      </w:r>
    </w:p>
    <w:p w14:paraId="112BD095" w14:textId="77777777" w:rsidR="00241A2B" w:rsidRDefault="00241A2B" w:rsidP="00241A2B">
      <w:pPr>
        <w:pStyle w:val="ListParagraph"/>
        <w:spacing w:line="0" w:lineRule="atLeast"/>
        <w:ind w:left="360"/>
        <w:contextualSpacing/>
        <w:jc w:val="both"/>
        <w:rPr>
          <w:rFonts w:ascii="Arial" w:hAnsi="Arial" w:cs="Arial"/>
          <w:b/>
          <w:bCs/>
          <w:sz w:val="20"/>
        </w:rPr>
      </w:pPr>
    </w:p>
    <w:p w14:paraId="58EDAA43" w14:textId="77777777" w:rsidR="00241A2B" w:rsidRDefault="00241A2B" w:rsidP="00241A2B">
      <w:pPr>
        <w:autoSpaceDE w:val="0"/>
        <w:autoSpaceDN w:val="0"/>
        <w:adjustRightInd w:val="0"/>
        <w:ind w:left="360"/>
        <w:rPr>
          <w:rFonts w:ascii="Arial" w:hAnsi="Arial" w:cs="Arial"/>
          <w:sz w:val="20"/>
          <w:szCs w:val="24"/>
        </w:rPr>
      </w:pPr>
      <w:r>
        <w:rPr>
          <w:rFonts w:ascii="Arial" w:hAnsi="Arial" w:cs="Arial"/>
          <w:sz w:val="20"/>
          <w:szCs w:val="24"/>
        </w:rPr>
        <w:t>Upon adding or removing a new adjustment, changing the nature of the adjustments, or changing the presentation of the non-GAAP measure, p</w:t>
      </w:r>
      <w:r w:rsidRPr="00FB3D1A">
        <w:rPr>
          <w:rFonts w:ascii="Arial" w:hAnsi="Arial" w:cs="Arial"/>
          <w:sz w:val="20"/>
          <w:szCs w:val="24"/>
        </w:rPr>
        <w:t>rior period measures need to be conformed to the current presentation</w:t>
      </w:r>
      <w:r>
        <w:rPr>
          <w:rFonts w:ascii="Arial" w:hAnsi="Arial" w:cs="Arial"/>
          <w:sz w:val="20"/>
          <w:szCs w:val="24"/>
        </w:rPr>
        <w:t xml:space="preserve"> if the impact in prior years is greater than our established materiality threshold, or if it has a significant impact to the comparability of the measure (e.g. a change from income to loss or vice versa, or other qualitative reasons).</w:t>
      </w:r>
    </w:p>
    <w:p w14:paraId="30A9A6C8" w14:textId="77777777" w:rsidR="00241A2B" w:rsidRDefault="00241A2B" w:rsidP="00241A2B">
      <w:pPr>
        <w:autoSpaceDE w:val="0"/>
        <w:autoSpaceDN w:val="0"/>
        <w:adjustRightInd w:val="0"/>
        <w:ind w:left="360"/>
        <w:rPr>
          <w:rFonts w:ascii="Arial" w:hAnsi="Arial" w:cs="Arial"/>
          <w:b/>
          <w:bCs/>
          <w:sz w:val="20"/>
          <w:szCs w:val="24"/>
          <w:u w:val="single"/>
        </w:rPr>
      </w:pPr>
    </w:p>
    <w:p w14:paraId="77700358" w14:textId="77777777" w:rsidR="00241A2B" w:rsidRDefault="00241A2B" w:rsidP="00241A2B">
      <w:pPr>
        <w:autoSpaceDE w:val="0"/>
        <w:autoSpaceDN w:val="0"/>
        <w:adjustRightInd w:val="0"/>
        <w:ind w:left="360"/>
        <w:rPr>
          <w:rFonts w:ascii="Arial" w:hAnsi="Arial" w:cs="Arial"/>
          <w:sz w:val="20"/>
          <w:szCs w:val="24"/>
        </w:rPr>
      </w:pPr>
      <w:r>
        <w:rPr>
          <w:rFonts w:ascii="Arial" w:hAnsi="Arial" w:cs="Arial"/>
          <w:b/>
          <w:bCs/>
          <w:sz w:val="20"/>
          <w:szCs w:val="24"/>
          <w:u w:val="single"/>
        </w:rPr>
        <w:t>Annual Review of Non-GAAP Measures Policy</w:t>
      </w:r>
    </w:p>
    <w:p w14:paraId="1F3D4C1E" w14:textId="77777777" w:rsidR="00241A2B" w:rsidRDefault="00241A2B" w:rsidP="00241A2B">
      <w:pPr>
        <w:autoSpaceDE w:val="0"/>
        <w:autoSpaceDN w:val="0"/>
        <w:adjustRightInd w:val="0"/>
        <w:ind w:left="360"/>
        <w:rPr>
          <w:rFonts w:ascii="Arial" w:hAnsi="Arial" w:cs="Arial"/>
          <w:sz w:val="20"/>
          <w:szCs w:val="24"/>
        </w:rPr>
      </w:pPr>
      <w:r>
        <w:rPr>
          <w:rFonts w:ascii="Arial" w:hAnsi="Arial" w:cs="Arial"/>
          <w:sz w:val="20"/>
          <w:szCs w:val="24"/>
        </w:rPr>
        <w:t>The Company will review its non-GAAP measures policy on an annual basis.  Changes to the policy (or a lack thereof) will be reviewed and approved based on the above guidelines for “approval of changes to non-GAAP measures”.</w:t>
      </w:r>
    </w:p>
    <w:p w14:paraId="324BAC6B" w14:textId="77777777" w:rsidR="00126402" w:rsidRDefault="00126402" w:rsidP="00241A2B">
      <w:pPr>
        <w:autoSpaceDE w:val="0"/>
        <w:autoSpaceDN w:val="0"/>
        <w:adjustRightInd w:val="0"/>
        <w:ind w:left="360"/>
        <w:rPr>
          <w:rFonts w:ascii="Arial" w:hAnsi="Arial" w:cs="Arial"/>
          <w:sz w:val="20"/>
          <w:szCs w:val="24"/>
        </w:rPr>
      </w:pPr>
    </w:p>
    <w:p w14:paraId="072D298B" w14:textId="739E747F" w:rsidR="00126402" w:rsidRPr="002744D2" w:rsidRDefault="00126402" w:rsidP="00126402">
      <w:pPr>
        <w:pStyle w:val="ListParagraph"/>
        <w:spacing w:line="0" w:lineRule="atLeast"/>
        <w:ind w:left="360"/>
        <w:contextualSpacing/>
        <w:jc w:val="both"/>
        <w:rPr>
          <w:rFonts w:ascii="Arial" w:hAnsi="Arial" w:cs="Arial"/>
          <w:i/>
          <w:sz w:val="20"/>
          <w:u w:val="single"/>
        </w:rPr>
      </w:pPr>
      <w:r w:rsidRPr="002744D2">
        <w:rPr>
          <w:rFonts w:ascii="Arial" w:hAnsi="Arial" w:cs="Arial"/>
          <w:i/>
          <w:sz w:val="20"/>
          <w:u w:val="single"/>
        </w:rPr>
        <w:t xml:space="preserve">Refer to the separate </w:t>
      </w:r>
      <w:r w:rsidRPr="002744D2">
        <w:rPr>
          <w:rFonts w:ascii="Arial" w:hAnsi="Arial" w:cs="Arial"/>
          <w:b/>
          <w:i/>
          <w:sz w:val="20"/>
          <w:u w:val="single"/>
        </w:rPr>
        <w:t>Bioventus</w:t>
      </w:r>
      <w:r>
        <w:rPr>
          <w:rFonts w:ascii="Arial" w:hAnsi="Arial" w:cs="Arial"/>
          <w:b/>
          <w:i/>
          <w:sz w:val="20"/>
          <w:u w:val="single"/>
        </w:rPr>
        <w:t xml:space="preserve"> Non-GAAP Measures Policy </w:t>
      </w:r>
      <w:r w:rsidRPr="002744D2">
        <w:rPr>
          <w:rFonts w:ascii="Arial" w:hAnsi="Arial" w:cs="Arial"/>
          <w:i/>
          <w:sz w:val="20"/>
          <w:u w:val="single"/>
        </w:rPr>
        <w:t xml:space="preserve">on </w:t>
      </w:r>
      <w:proofErr w:type="spellStart"/>
      <w:r w:rsidRPr="002744D2">
        <w:rPr>
          <w:rFonts w:ascii="Arial" w:hAnsi="Arial" w:cs="Arial"/>
          <w:i/>
          <w:sz w:val="20"/>
          <w:u w:val="single"/>
        </w:rPr>
        <w:t>Bionet</w:t>
      </w:r>
      <w:proofErr w:type="spellEnd"/>
      <w:r>
        <w:rPr>
          <w:rFonts w:ascii="Arial" w:hAnsi="Arial" w:cs="Arial"/>
          <w:i/>
          <w:sz w:val="20"/>
          <w:u w:val="single"/>
        </w:rPr>
        <w:t xml:space="preserve"> for further details.</w:t>
      </w:r>
    </w:p>
    <w:p w14:paraId="7A499977" w14:textId="77777777" w:rsidR="00126402" w:rsidRPr="00460A6A" w:rsidRDefault="00126402" w:rsidP="00241A2B">
      <w:pPr>
        <w:autoSpaceDE w:val="0"/>
        <w:autoSpaceDN w:val="0"/>
        <w:adjustRightInd w:val="0"/>
        <w:ind w:left="360"/>
        <w:rPr>
          <w:rFonts w:ascii="Arial" w:hAnsi="Arial" w:cs="Arial"/>
          <w:sz w:val="20"/>
          <w:szCs w:val="24"/>
        </w:rPr>
      </w:pPr>
    </w:p>
    <w:p w14:paraId="4487A072" w14:textId="66151A2C" w:rsidR="0080429F" w:rsidRDefault="0080429F" w:rsidP="0093197C">
      <w:pPr>
        <w:pStyle w:val="ListParagraph"/>
        <w:spacing w:line="0" w:lineRule="atLeast"/>
        <w:ind w:left="360"/>
        <w:contextualSpacing/>
        <w:jc w:val="both"/>
        <w:rPr>
          <w:rFonts w:ascii="Arial" w:hAnsi="Arial" w:cs="Arial"/>
          <w:b/>
          <w:sz w:val="20"/>
        </w:rPr>
      </w:pPr>
      <w:r>
        <w:rPr>
          <w:rFonts w:ascii="Arial" w:hAnsi="Arial" w:cs="Arial"/>
          <w:b/>
          <w:sz w:val="20"/>
        </w:rPr>
        <w:t>3.6 Related Party Transactions</w:t>
      </w:r>
    </w:p>
    <w:p w14:paraId="5DCA7773" w14:textId="27912AF9" w:rsidR="00D225CD" w:rsidRPr="00D225CD" w:rsidRDefault="00D225CD" w:rsidP="0093197C">
      <w:pPr>
        <w:autoSpaceDE w:val="0"/>
        <w:autoSpaceDN w:val="0"/>
        <w:adjustRightInd w:val="0"/>
        <w:ind w:left="360"/>
        <w:rPr>
          <w:rFonts w:ascii="Arial" w:hAnsi="Arial" w:cs="Arial"/>
          <w:sz w:val="20"/>
          <w:szCs w:val="24"/>
        </w:rPr>
      </w:pPr>
      <w:r w:rsidRPr="00D225CD">
        <w:rPr>
          <w:rFonts w:ascii="Arial" w:hAnsi="Arial" w:cs="Arial"/>
          <w:sz w:val="20"/>
          <w:szCs w:val="24"/>
        </w:rPr>
        <w:t xml:space="preserve">All </w:t>
      </w:r>
      <w:r w:rsidR="00C06458">
        <w:rPr>
          <w:rFonts w:ascii="Arial" w:hAnsi="Arial" w:cs="Arial"/>
          <w:sz w:val="20"/>
          <w:szCs w:val="24"/>
        </w:rPr>
        <w:t xml:space="preserve">material </w:t>
      </w:r>
      <w:r w:rsidRPr="00D225CD">
        <w:rPr>
          <w:rFonts w:ascii="Arial" w:hAnsi="Arial" w:cs="Arial"/>
          <w:sz w:val="20"/>
          <w:szCs w:val="24"/>
        </w:rPr>
        <w:t xml:space="preserve">transactions with related parties require the prior approval of the </w:t>
      </w:r>
      <w:r>
        <w:rPr>
          <w:rFonts w:ascii="Arial" w:hAnsi="Arial" w:cs="Arial"/>
          <w:sz w:val="20"/>
          <w:szCs w:val="24"/>
        </w:rPr>
        <w:t>CFO</w:t>
      </w:r>
      <w:r w:rsidRPr="00D225CD">
        <w:rPr>
          <w:rFonts w:ascii="Arial" w:hAnsi="Arial" w:cs="Arial"/>
          <w:sz w:val="20"/>
          <w:szCs w:val="24"/>
        </w:rPr>
        <w:t xml:space="preserve">. In considering the approval of a related party transaction, </w:t>
      </w:r>
      <w:r w:rsidR="00C06458">
        <w:rPr>
          <w:rFonts w:ascii="Arial" w:hAnsi="Arial" w:cs="Arial"/>
          <w:sz w:val="20"/>
          <w:szCs w:val="24"/>
        </w:rPr>
        <w:t xml:space="preserve">details of the proposed transaction </w:t>
      </w:r>
      <w:r w:rsidR="00E05237">
        <w:rPr>
          <w:rFonts w:ascii="Arial" w:hAnsi="Arial" w:cs="Arial"/>
          <w:sz w:val="20"/>
          <w:szCs w:val="24"/>
        </w:rPr>
        <w:t xml:space="preserve">should </w:t>
      </w:r>
      <w:r w:rsidR="00E05237" w:rsidRPr="00D225CD">
        <w:rPr>
          <w:rFonts w:ascii="Arial" w:hAnsi="Arial" w:cs="Arial"/>
          <w:sz w:val="20"/>
          <w:szCs w:val="24"/>
        </w:rPr>
        <w:t>include</w:t>
      </w:r>
      <w:r w:rsidRPr="00D225CD">
        <w:rPr>
          <w:rFonts w:ascii="Arial" w:hAnsi="Arial" w:cs="Arial"/>
          <w:sz w:val="20"/>
          <w:szCs w:val="24"/>
        </w:rPr>
        <w:t>:</w:t>
      </w:r>
    </w:p>
    <w:p w14:paraId="3B5566A5" w14:textId="578EE2E4" w:rsidR="00D225CD" w:rsidRPr="00DA1397" w:rsidRDefault="00D225CD" w:rsidP="0093197C">
      <w:pPr>
        <w:pStyle w:val="ListParagraph"/>
        <w:numPr>
          <w:ilvl w:val="0"/>
          <w:numId w:val="38"/>
        </w:numPr>
        <w:autoSpaceDE w:val="0"/>
        <w:autoSpaceDN w:val="0"/>
        <w:adjustRightInd w:val="0"/>
        <w:rPr>
          <w:rFonts w:ascii="Arial" w:hAnsi="Arial" w:cs="Arial"/>
          <w:sz w:val="20"/>
        </w:rPr>
      </w:pPr>
      <w:r w:rsidRPr="00DA1397">
        <w:rPr>
          <w:rFonts w:ascii="Arial" w:hAnsi="Arial" w:cs="Arial"/>
          <w:sz w:val="20"/>
        </w:rPr>
        <w:t>The identification of the related party and the affiliation to Bioventus</w:t>
      </w:r>
    </w:p>
    <w:p w14:paraId="564FA90C" w14:textId="2876E5F0" w:rsidR="00D225CD" w:rsidRPr="00DA1397" w:rsidRDefault="00D225CD" w:rsidP="0093197C">
      <w:pPr>
        <w:pStyle w:val="ListParagraph"/>
        <w:numPr>
          <w:ilvl w:val="0"/>
          <w:numId w:val="38"/>
        </w:numPr>
        <w:autoSpaceDE w:val="0"/>
        <w:autoSpaceDN w:val="0"/>
        <w:adjustRightInd w:val="0"/>
        <w:rPr>
          <w:rFonts w:ascii="Arial" w:hAnsi="Arial" w:cs="Arial"/>
          <w:sz w:val="20"/>
        </w:rPr>
      </w:pPr>
      <w:r w:rsidRPr="00DA1397">
        <w:rPr>
          <w:rFonts w:ascii="Arial" w:hAnsi="Arial" w:cs="Arial"/>
          <w:sz w:val="20"/>
        </w:rPr>
        <w:t>The nature of the proposed transaction and the amount of the transaction</w:t>
      </w:r>
    </w:p>
    <w:p w14:paraId="49151AC9" w14:textId="58364DB3" w:rsidR="00D225CD" w:rsidRPr="00DA1397" w:rsidRDefault="00D225CD" w:rsidP="0093197C">
      <w:pPr>
        <w:pStyle w:val="ListParagraph"/>
        <w:numPr>
          <w:ilvl w:val="0"/>
          <w:numId w:val="38"/>
        </w:numPr>
        <w:autoSpaceDE w:val="0"/>
        <w:autoSpaceDN w:val="0"/>
        <w:adjustRightInd w:val="0"/>
        <w:rPr>
          <w:rFonts w:ascii="Arial" w:hAnsi="Arial" w:cs="Arial"/>
          <w:sz w:val="20"/>
        </w:rPr>
      </w:pPr>
      <w:r w:rsidRPr="00DA1397">
        <w:rPr>
          <w:rFonts w:ascii="Arial" w:hAnsi="Arial" w:cs="Arial"/>
          <w:sz w:val="20"/>
        </w:rPr>
        <w:t>Supporting evidence to support the arm's length nature of the proposed transaction including the terms and manner of settlement had the parties not been related</w:t>
      </w:r>
    </w:p>
    <w:p w14:paraId="49B15A4D" w14:textId="03370A48" w:rsidR="00D225CD" w:rsidRPr="00DA1397" w:rsidRDefault="00D225CD" w:rsidP="00C96CD5">
      <w:pPr>
        <w:pStyle w:val="ListParagraph"/>
        <w:numPr>
          <w:ilvl w:val="0"/>
          <w:numId w:val="38"/>
        </w:numPr>
        <w:autoSpaceDE w:val="0"/>
        <w:autoSpaceDN w:val="0"/>
        <w:adjustRightInd w:val="0"/>
        <w:rPr>
          <w:rFonts w:ascii="Arial" w:hAnsi="Arial" w:cs="Arial"/>
          <w:sz w:val="20"/>
        </w:rPr>
      </w:pPr>
      <w:r w:rsidRPr="00DA1397">
        <w:rPr>
          <w:rFonts w:ascii="Arial" w:hAnsi="Arial" w:cs="Arial"/>
          <w:sz w:val="20"/>
        </w:rPr>
        <w:t>The anticipated impact on financial statement and disclosure</w:t>
      </w:r>
    </w:p>
    <w:p w14:paraId="482AAFEC" w14:textId="77777777" w:rsidR="00D225CD" w:rsidRPr="00DA1397" w:rsidRDefault="00D225CD" w:rsidP="00DC178B">
      <w:pPr>
        <w:autoSpaceDE w:val="0"/>
        <w:autoSpaceDN w:val="0"/>
        <w:adjustRightInd w:val="0"/>
        <w:ind w:left="779"/>
        <w:rPr>
          <w:rFonts w:ascii="Arial" w:hAnsi="Arial" w:cs="Arial"/>
          <w:sz w:val="20"/>
        </w:rPr>
      </w:pPr>
    </w:p>
    <w:p w14:paraId="478FB656" w14:textId="48642C7E" w:rsidR="00D225CD" w:rsidRDefault="00D225CD" w:rsidP="00DC178B">
      <w:pPr>
        <w:autoSpaceDE w:val="0"/>
        <w:autoSpaceDN w:val="0"/>
        <w:adjustRightInd w:val="0"/>
        <w:ind w:left="360"/>
        <w:rPr>
          <w:rFonts w:ascii="Arial" w:hAnsi="Arial" w:cs="Arial"/>
          <w:sz w:val="20"/>
          <w:szCs w:val="24"/>
        </w:rPr>
      </w:pPr>
      <w:r w:rsidRPr="00D225CD">
        <w:rPr>
          <w:rFonts w:ascii="Arial" w:hAnsi="Arial" w:cs="Arial"/>
          <w:sz w:val="20"/>
          <w:szCs w:val="24"/>
        </w:rPr>
        <w:t>For the purposes of this policy, a related party is</w:t>
      </w:r>
      <w:r>
        <w:rPr>
          <w:rFonts w:ascii="Arial" w:hAnsi="Arial" w:cs="Arial"/>
          <w:sz w:val="20"/>
          <w:szCs w:val="24"/>
        </w:rPr>
        <w:t xml:space="preserve"> a</w:t>
      </w:r>
      <w:r w:rsidRPr="00D225CD">
        <w:rPr>
          <w:rFonts w:ascii="Arial" w:hAnsi="Arial" w:cs="Arial"/>
          <w:sz w:val="20"/>
          <w:szCs w:val="24"/>
        </w:rPr>
        <w:t>n employee</w:t>
      </w:r>
      <w:r>
        <w:rPr>
          <w:rFonts w:ascii="Arial" w:hAnsi="Arial" w:cs="Arial"/>
          <w:sz w:val="20"/>
          <w:szCs w:val="24"/>
        </w:rPr>
        <w:t>, a</w:t>
      </w:r>
      <w:r w:rsidRPr="00D225CD">
        <w:rPr>
          <w:rFonts w:ascii="Arial" w:hAnsi="Arial" w:cs="Arial"/>
          <w:sz w:val="20"/>
          <w:szCs w:val="24"/>
        </w:rPr>
        <w:t>n affiliate</w:t>
      </w:r>
      <w:r>
        <w:rPr>
          <w:rFonts w:ascii="Arial" w:hAnsi="Arial" w:cs="Arial"/>
          <w:sz w:val="20"/>
          <w:szCs w:val="24"/>
        </w:rPr>
        <w:t>,</w:t>
      </w:r>
      <w:r w:rsidRPr="00D225CD">
        <w:rPr>
          <w:rFonts w:ascii="Arial" w:hAnsi="Arial" w:cs="Arial"/>
          <w:sz w:val="20"/>
          <w:szCs w:val="24"/>
        </w:rPr>
        <w:t xml:space="preserve"> </w:t>
      </w:r>
      <w:r>
        <w:rPr>
          <w:rFonts w:ascii="Arial" w:hAnsi="Arial" w:cs="Arial"/>
          <w:sz w:val="20"/>
          <w:szCs w:val="24"/>
        </w:rPr>
        <w:t>a</w:t>
      </w:r>
      <w:r w:rsidRPr="00D225CD">
        <w:rPr>
          <w:rFonts w:ascii="Arial" w:hAnsi="Arial" w:cs="Arial"/>
          <w:sz w:val="20"/>
          <w:szCs w:val="24"/>
        </w:rPr>
        <w:t xml:space="preserve"> principal owner</w:t>
      </w:r>
      <w:r>
        <w:rPr>
          <w:rFonts w:ascii="Arial" w:hAnsi="Arial" w:cs="Arial"/>
          <w:sz w:val="20"/>
          <w:szCs w:val="24"/>
        </w:rPr>
        <w:t>,</w:t>
      </w:r>
      <w:r w:rsidRPr="00D225CD">
        <w:rPr>
          <w:rFonts w:ascii="Arial" w:hAnsi="Arial" w:cs="Arial"/>
          <w:sz w:val="20"/>
          <w:szCs w:val="24"/>
        </w:rPr>
        <w:t xml:space="preserve"> </w:t>
      </w:r>
      <w:r>
        <w:rPr>
          <w:rFonts w:ascii="Arial" w:hAnsi="Arial" w:cs="Arial"/>
          <w:sz w:val="20"/>
          <w:szCs w:val="24"/>
        </w:rPr>
        <w:t>m</w:t>
      </w:r>
      <w:r w:rsidRPr="00D225CD">
        <w:rPr>
          <w:rFonts w:ascii="Arial" w:hAnsi="Arial" w:cs="Arial"/>
          <w:sz w:val="20"/>
          <w:szCs w:val="24"/>
        </w:rPr>
        <w:t>embers of the immediate family of an employee or principal owner</w:t>
      </w:r>
      <w:r>
        <w:rPr>
          <w:rFonts w:ascii="Arial" w:hAnsi="Arial" w:cs="Arial"/>
          <w:sz w:val="20"/>
          <w:szCs w:val="24"/>
        </w:rPr>
        <w:t>,</w:t>
      </w:r>
      <w:r w:rsidRPr="00D225CD">
        <w:rPr>
          <w:rFonts w:ascii="Arial" w:hAnsi="Arial" w:cs="Arial"/>
          <w:sz w:val="20"/>
          <w:szCs w:val="24"/>
        </w:rPr>
        <w:t xml:space="preserve"> </w:t>
      </w:r>
      <w:r>
        <w:rPr>
          <w:rFonts w:ascii="Arial" w:hAnsi="Arial" w:cs="Arial"/>
          <w:sz w:val="20"/>
          <w:szCs w:val="24"/>
        </w:rPr>
        <w:t>a</w:t>
      </w:r>
      <w:r w:rsidRPr="00D225CD">
        <w:rPr>
          <w:rFonts w:ascii="Arial" w:hAnsi="Arial" w:cs="Arial"/>
          <w:sz w:val="20"/>
          <w:szCs w:val="24"/>
        </w:rPr>
        <w:t xml:space="preserve"> trust for the benefit of employees</w:t>
      </w:r>
      <w:r>
        <w:rPr>
          <w:rFonts w:ascii="Arial" w:hAnsi="Arial" w:cs="Arial"/>
          <w:sz w:val="20"/>
          <w:szCs w:val="24"/>
        </w:rPr>
        <w:t>, a</w:t>
      </w:r>
      <w:r w:rsidRPr="00D225CD">
        <w:rPr>
          <w:rFonts w:ascii="Arial" w:hAnsi="Arial" w:cs="Arial"/>
          <w:sz w:val="20"/>
          <w:szCs w:val="24"/>
        </w:rPr>
        <w:t>n entity for which investments are accounted for by the equity method</w:t>
      </w:r>
      <w:r>
        <w:rPr>
          <w:rFonts w:ascii="Arial" w:hAnsi="Arial" w:cs="Arial"/>
          <w:sz w:val="20"/>
          <w:szCs w:val="24"/>
        </w:rPr>
        <w:t>, a</w:t>
      </w:r>
      <w:r w:rsidRPr="00D225CD">
        <w:rPr>
          <w:rFonts w:ascii="Arial" w:hAnsi="Arial" w:cs="Arial"/>
          <w:sz w:val="20"/>
          <w:szCs w:val="24"/>
        </w:rPr>
        <w:t>nother party may also be considered a related party if it can significantly influence the management and operating policies.</w:t>
      </w:r>
    </w:p>
    <w:p w14:paraId="460BA973" w14:textId="48708C26" w:rsidR="00DA1397" w:rsidRDefault="00DA1397" w:rsidP="00DC178B">
      <w:pPr>
        <w:autoSpaceDE w:val="0"/>
        <w:autoSpaceDN w:val="0"/>
        <w:adjustRightInd w:val="0"/>
        <w:ind w:left="360"/>
        <w:rPr>
          <w:rFonts w:ascii="Arial" w:hAnsi="Arial" w:cs="Arial"/>
          <w:sz w:val="20"/>
          <w:szCs w:val="24"/>
        </w:rPr>
      </w:pPr>
    </w:p>
    <w:p w14:paraId="5985FC79" w14:textId="1D6D55F7" w:rsidR="00D225CD" w:rsidRDefault="00DA1397" w:rsidP="00DC178B">
      <w:pPr>
        <w:autoSpaceDE w:val="0"/>
        <w:autoSpaceDN w:val="0"/>
        <w:adjustRightInd w:val="0"/>
        <w:ind w:left="360"/>
        <w:rPr>
          <w:rFonts w:ascii="Arial" w:hAnsi="Arial" w:cs="Arial"/>
          <w:sz w:val="20"/>
          <w:szCs w:val="24"/>
        </w:rPr>
      </w:pPr>
      <w:r>
        <w:rPr>
          <w:rFonts w:ascii="Arial" w:hAnsi="Arial" w:cs="Arial"/>
          <w:sz w:val="20"/>
          <w:szCs w:val="24"/>
        </w:rPr>
        <w:t>Disclose material transactions</w:t>
      </w:r>
      <w:r w:rsidRPr="00DA1397">
        <w:t xml:space="preserve"> </w:t>
      </w:r>
      <w:r w:rsidRPr="00DA1397">
        <w:rPr>
          <w:rFonts w:ascii="Arial" w:hAnsi="Arial" w:cs="Arial"/>
          <w:sz w:val="20"/>
          <w:szCs w:val="24"/>
        </w:rPr>
        <w:t>other than compensation arrangements, expense allowances, and other similar items in the ordinary course of business</w:t>
      </w:r>
      <w:r>
        <w:rPr>
          <w:rFonts w:ascii="Arial" w:hAnsi="Arial" w:cs="Arial"/>
          <w:sz w:val="20"/>
          <w:szCs w:val="24"/>
        </w:rPr>
        <w:t xml:space="preserve"> or eliminated transactions as indicated in the disclosure checklist. </w:t>
      </w:r>
    </w:p>
    <w:p w14:paraId="43A5395D" w14:textId="77777777" w:rsidR="00D225CD" w:rsidRDefault="00D225CD" w:rsidP="00B5048D">
      <w:pPr>
        <w:autoSpaceDE w:val="0"/>
        <w:autoSpaceDN w:val="0"/>
        <w:adjustRightInd w:val="0"/>
        <w:ind w:left="360"/>
        <w:rPr>
          <w:rFonts w:ascii="Arial" w:hAnsi="Arial" w:cs="Arial"/>
          <w:sz w:val="20"/>
          <w:szCs w:val="24"/>
        </w:rPr>
      </w:pPr>
    </w:p>
    <w:p w14:paraId="0D9526CD" w14:textId="152FD92F" w:rsidR="009E0ABC" w:rsidRDefault="00D225CD" w:rsidP="00B5048D">
      <w:pPr>
        <w:autoSpaceDE w:val="0"/>
        <w:autoSpaceDN w:val="0"/>
        <w:adjustRightInd w:val="0"/>
        <w:ind w:left="360"/>
        <w:rPr>
          <w:rFonts w:ascii="Arial" w:hAnsi="Arial" w:cs="Arial"/>
          <w:sz w:val="20"/>
          <w:szCs w:val="24"/>
        </w:rPr>
      </w:pPr>
      <w:r>
        <w:rPr>
          <w:rFonts w:ascii="Arial" w:hAnsi="Arial" w:cs="Arial"/>
          <w:sz w:val="20"/>
          <w:szCs w:val="24"/>
        </w:rPr>
        <w:t>I</w:t>
      </w:r>
      <w:r w:rsidR="009E0ABC" w:rsidRPr="009E0ABC">
        <w:rPr>
          <w:rFonts w:ascii="Arial" w:hAnsi="Arial" w:cs="Arial"/>
          <w:sz w:val="20"/>
          <w:szCs w:val="24"/>
        </w:rPr>
        <w:t>tem 404(a) requires</w:t>
      </w:r>
      <w:r>
        <w:rPr>
          <w:rFonts w:ascii="Arial" w:hAnsi="Arial" w:cs="Arial"/>
          <w:sz w:val="20"/>
          <w:szCs w:val="24"/>
        </w:rPr>
        <w:t xml:space="preserve"> </w:t>
      </w:r>
      <w:r w:rsidR="009E0ABC" w:rsidRPr="009E0ABC">
        <w:rPr>
          <w:rFonts w:ascii="Arial" w:hAnsi="Arial" w:cs="Arial"/>
          <w:sz w:val="20"/>
          <w:szCs w:val="24"/>
        </w:rPr>
        <w:t xml:space="preserve">disclosure of any transaction since the beginning of the last fiscal year </w:t>
      </w:r>
      <w:r>
        <w:rPr>
          <w:rFonts w:ascii="Arial" w:hAnsi="Arial" w:cs="Arial"/>
          <w:sz w:val="20"/>
          <w:szCs w:val="24"/>
        </w:rPr>
        <w:t>with</w:t>
      </w:r>
      <w:r w:rsidR="009E0ABC" w:rsidRPr="009E0ABC">
        <w:rPr>
          <w:rFonts w:ascii="Arial" w:hAnsi="Arial" w:cs="Arial"/>
          <w:sz w:val="20"/>
          <w:szCs w:val="24"/>
        </w:rPr>
        <w:t xml:space="preserve"> any 5 percent shareholder where the amount involved exceeds $120,000 and the 5 percent shareholder has a direct or indirect material interest in the transaction. </w:t>
      </w:r>
    </w:p>
    <w:p w14:paraId="63B8F666" w14:textId="49D19A12" w:rsidR="00162C61" w:rsidRDefault="00162C61" w:rsidP="00B5048D">
      <w:pPr>
        <w:autoSpaceDE w:val="0"/>
        <w:autoSpaceDN w:val="0"/>
        <w:adjustRightInd w:val="0"/>
        <w:ind w:left="360"/>
        <w:rPr>
          <w:rFonts w:ascii="Arial" w:hAnsi="Arial" w:cs="Arial"/>
          <w:sz w:val="20"/>
          <w:szCs w:val="24"/>
        </w:rPr>
      </w:pPr>
    </w:p>
    <w:p w14:paraId="55F0222C" w14:textId="3474F890" w:rsidR="00162C61" w:rsidRPr="00C85095" w:rsidRDefault="00162C61" w:rsidP="009D7A9F">
      <w:pPr>
        <w:pStyle w:val="ListParagraph"/>
        <w:spacing w:line="0" w:lineRule="atLeast"/>
        <w:ind w:left="360"/>
        <w:contextualSpacing/>
        <w:jc w:val="both"/>
        <w:rPr>
          <w:rFonts w:ascii="Arial" w:hAnsi="Arial" w:cs="Arial"/>
          <w:b/>
          <w:sz w:val="20"/>
        </w:rPr>
      </w:pPr>
      <w:r w:rsidRPr="00167A37">
        <w:rPr>
          <w:rFonts w:ascii="Arial" w:hAnsi="Arial" w:cs="Arial"/>
          <w:b/>
          <w:sz w:val="20"/>
        </w:rPr>
        <w:t xml:space="preserve">3.7 </w:t>
      </w:r>
      <w:r w:rsidRPr="00C85095">
        <w:rPr>
          <w:rFonts w:ascii="Arial" w:hAnsi="Arial" w:cs="Arial"/>
          <w:b/>
          <w:sz w:val="20"/>
        </w:rPr>
        <w:t>Subsequent Events</w:t>
      </w:r>
    </w:p>
    <w:p w14:paraId="3906059E" w14:textId="34D3026A" w:rsidR="00162C61" w:rsidRPr="00162C61" w:rsidRDefault="00162C61" w:rsidP="00B5048D">
      <w:pPr>
        <w:autoSpaceDE w:val="0"/>
        <w:autoSpaceDN w:val="0"/>
        <w:adjustRightInd w:val="0"/>
        <w:ind w:left="360"/>
        <w:rPr>
          <w:rFonts w:ascii="Arial" w:hAnsi="Arial" w:cs="Arial"/>
          <w:sz w:val="20"/>
          <w:szCs w:val="24"/>
        </w:rPr>
      </w:pPr>
      <w:r w:rsidRPr="00162C61">
        <w:rPr>
          <w:rFonts w:ascii="Arial" w:hAnsi="Arial" w:cs="Arial"/>
          <w:sz w:val="20"/>
          <w:szCs w:val="24"/>
        </w:rPr>
        <w:t xml:space="preserve">Events or transactions sometimes occur </w:t>
      </w:r>
      <w:proofErr w:type="gramStart"/>
      <w:r w:rsidRPr="00162C61">
        <w:rPr>
          <w:rFonts w:ascii="Arial" w:hAnsi="Arial" w:cs="Arial"/>
          <w:sz w:val="20"/>
          <w:szCs w:val="24"/>
        </w:rPr>
        <w:t>subsequent to</w:t>
      </w:r>
      <w:proofErr w:type="gramEnd"/>
      <w:r w:rsidRPr="00162C61">
        <w:rPr>
          <w:rFonts w:ascii="Arial" w:hAnsi="Arial" w:cs="Arial"/>
          <w:sz w:val="20"/>
          <w:szCs w:val="24"/>
        </w:rPr>
        <w:t xml:space="preserve"> the balance-sheet date</w:t>
      </w:r>
      <w:r w:rsidR="003C018C">
        <w:rPr>
          <w:rFonts w:ascii="Arial" w:hAnsi="Arial" w:cs="Arial"/>
          <w:sz w:val="20"/>
          <w:szCs w:val="24"/>
        </w:rPr>
        <w:t xml:space="preserve"> </w:t>
      </w:r>
      <w:r w:rsidRPr="00162C61">
        <w:rPr>
          <w:rFonts w:ascii="Arial" w:hAnsi="Arial" w:cs="Arial"/>
          <w:sz w:val="20"/>
          <w:szCs w:val="24"/>
        </w:rPr>
        <w:t xml:space="preserve">that have a material effect on the financial statements and, therefore, require adjustment or disclosure.  The period from the balance sheet date to the date the financial statements are either issued (SEC filer) or available to be issued (non-SEC filer) is referred to as the subsequent events measurement period. </w:t>
      </w:r>
    </w:p>
    <w:p w14:paraId="37124A60" w14:textId="77777777" w:rsidR="00162C61" w:rsidRPr="00162C61" w:rsidRDefault="00162C61" w:rsidP="00B5048D">
      <w:pPr>
        <w:autoSpaceDE w:val="0"/>
        <w:autoSpaceDN w:val="0"/>
        <w:adjustRightInd w:val="0"/>
        <w:ind w:left="360"/>
        <w:rPr>
          <w:rFonts w:ascii="Arial" w:hAnsi="Arial" w:cs="Arial"/>
          <w:sz w:val="20"/>
          <w:szCs w:val="24"/>
        </w:rPr>
      </w:pPr>
    </w:p>
    <w:p w14:paraId="53BC25C2" w14:textId="77777777" w:rsidR="00162C61" w:rsidRPr="00162C61" w:rsidRDefault="00162C61" w:rsidP="00B5048D">
      <w:pPr>
        <w:autoSpaceDE w:val="0"/>
        <w:autoSpaceDN w:val="0"/>
        <w:adjustRightInd w:val="0"/>
        <w:ind w:left="360"/>
        <w:rPr>
          <w:rFonts w:ascii="Arial" w:hAnsi="Arial" w:cs="Arial"/>
          <w:sz w:val="20"/>
          <w:szCs w:val="24"/>
        </w:rPr>
      </w:pPr>
      <w:r w:rsidRPr="00162C61">
        <w:rPr>
          <w:rFonts w:ascii="Arial" w:hAnsi="Arial" w:cs="Arial"/>
          <w:sz w:val="20"/>
          <w:szCs w:val="24"/>
        </w:rPr>
        <w:t>There are two types of subsequent events:</w:t>
      </w:r>
    </w:p>
    <w:p w14:paraId="03A4BA51" w14:textId="64F8446E" w:rsidR="00393026" w:rsidRPr="009D7A9F" w:rsidRDefault="00393026" w:rsidP="00393026">
      <w:pPr>
        <w:pStyle w:val="li"/>
        <w:numPr>
          <w:ilvl w:val="0"/>
          <w:numId w:val="55"/>
        </w:numPr>
        <w:shd w:val="clear" w:color="auto" w:fill="FFFFFF"/>
        <w:spacing w:before="0" w:beforeAutospacing="0" w:after="0" w:afterAutospacing="0"/>
        <w:rPr>
          <w:rFonts w:ascii="Arial" w:hAnsi="Arial" w:cs="Arial"/>
          <w:sz w:val="20"/>
        </w:rPr>
      </w:pPr>
      <w:r w:rsidRPr="009D7A9F">
        <w:rPr>
          <w:rFonts w:ascii="Arial" w:hAnsi="Arial" w:cs="Arial"/>
          <w:sz w:val="20"/>
        </w:rPr>
        <w:t>The first type</w:t>
      </w:r>
      <w:r w:rsidR="00F01511">
        <w:rPr>
          <w:rFonts w:ascii="Arial" w:hAnsi="Arial" w:cs="Arial"/>
          <w:sz w:val="20"/>
        </w:rPr>
        <w:t xml:space="preserve"> (Type</w:t>
      </w:r>
      <w:r w:rsidR="007040C2">
        <w:rPr>
          <w:rFonts w:ascii="Arial" w:hAnsi="Arial" w:cs="Arial"/>
          <w:sz w:val="20"/>
        </w:rPr>
        <w:t xml:space="preserve"> 1 Events) </w:t>
      </w:r>
      <w:r w:rsidRPr="009D7A9F">
        <w:rPr>
          <w:rFonts w:ascii="Arial" w:hAnsi="Arial" w:cs="Arial"/>
          <w:sz w:val="20"/>
        </w:rPr>
        <w:t xml:space="preserve">consists of events or transactions that provide additional evidence about conditions that existed at the date of the balance sheet, including the estimates inherent in the process of preparing financial statements (that is, </w:t>
      </w:r>
      <w:r w:rsidRPr="009D7A9F">
        <w:rPr>
          <w:rFonts w:ascii="Arial" w:hAnsi="Arial" w:cs="Arial"/>
          <w:sz w:val="20"/>
          <w:u w:val="single"/>
        </w:rPr>
        <w:t>recognized subsequent events</w:t>
      </w:r>
      <w:r w:rsidRPr="009D7A9F">
        <w:rPr>
          <w:rFonts w:ascii="Arial" w:hAnsi="Arial" w:cs="Arial"/>
          <w:sz w:val="20"/>
        </w:rPr>
        <w:t>).</w:t>
      </w:r>
    </w:p>
    <w:p w14:paraId="618C6335" w14:textId="1F6FCE2B" w:rsidR="00393026" w:rsidRPr="009D7A9F" w:rsidRDefault="00393026" w:rsidP="00393026">
      <w:pPr>
        <w:pStyle w:val="li"/>
        <w:numPr>
          <w:ilvl w:val="0"/>
          <w:numId w:val="55"/>
        </w:numPr>
        <w:shd w:val="clear" w:color="auto" w:fill="FFFFFF"/>
        <w:spacing w:before="0" w:beforeAutospacing="0" w:after="0" w:afterAutospacing="0"/>
        <w:rPr>
          <w:rFonts w:ascii="Arial" w:hAnsi="Arial" w:cs="Arial"/>
          <w:sz w:val="20"/>
        </w:rPr>
      </w:pPr>
      <w:r w:rsidRPr="009D7A9F">
        <w:rPr>
          <w:rFonts w:ascii="Arial" w:hAnsi="Arial" w:cs="Arial"/>
          <w:sz w:val="20"/>
        </w:rPr>
        <w:t xml:space="preserve">The second type </w:t>
      </w:r>
      <w:r w:rsidR="007040C2">
        <w:rPr>
          <w:rFonts w:ascii="Arial" w:hAnsi="Arial" w:cs="Arial"/>
          <w:sz w:val="20"/>
        </w:rPr>
        <w:t xml:space="preserve">(Type 2 Events) </w:t>
      </w:r>
      <w:r w:rsidRPr="009D7A9F">
        <w:rPr>
          <w:rFonts w:ascii="Arial" w:hAnsi="Arial" w:cs="Arial"/>
          <w:sz w:val="20"/>
        </w:rPr>
        <w:t xml:space="preserve">consists of events that provide evidence about conditions that did not exist at the date of the balance sheet but arose </w:t>
      </w:r>
      <w:proofErr w:type="gramStart"/>
      <w:r w:rsidRPr="009D7A9F">
        <w:rPr>
          <w:rFonts w:ascii="Arial" w:hAnsi="Arial" w:cs="Arial"/>
          <w:sz w:val="20"/>
        </w:rPr>
        <w:t>subsequent to</w:t>
      </w:r>
      <w:proofErr w:type="gramEnd"/>
      <w:r w:rsidRPr="009D7A9F">
        <w:rPr>
          <w:rFonts w:ascii="Arial" w:hAnsi="Arial" w:cs="Arial"/>
          <w:sz w:val="20"/>
        </w:rPr>
        <w:t xml:space="preserve"> that date (that is, </w:t>
      </w:r>
      <w:proofErr w:type="spellStart"/>
      <w:r w:rsidRPr="009D7A9F">
        <w:rPr>
          <w:rFonts w:ascii="Arial" w:hAnsi="Arial" w:cs="Arial"/>
          <w:sz w:val="20"/>
          <w:u w:val="single"/>
        </w:rPr>
        <w:t>nonrecognized</w:t>
      </w:r>
      <w:proofErr w:type="spellEnd"/>
      <w:r w:rsidRPr="009D7A9F">
        <w:rPr>
          <w:rFonts w:ascii="Arial" w:hAnsi="Arial" w:cs="Arial"/>
          <w:sz w:val="20"/>
          <w:u w:val="single"/>
        </w:rPr>
        <w:t xml:space="preserve"> subsequent events</w:t>
      </w:r>
      <w:r w:rsidRPr="009D7A9F">
        <w:rPr>
          <w:rFonts w:ascii="Arial" w:hAnsi="Arial" w:cs="Arial"/>
          <w:sz w:val="20"/>
        </w:rPr>
        <w:t>).</w:t>
      </w:r>
    </w:p>
    <w:p w14:paraId="344C410E" w14:textId="77777777" w:rsidR="00393026" w:rsidRDefault="00393026" w:rsidP="009D7A9F">
      <w:pPr>
        <w:autoSpaceDE w:val="0"/>
        <w:autoSpaceDN w:val="0"/>
        <w:adjustRightInd w:val="0"/>
        <w:rPr>
          <w:rFonts w:ascii="Arial" w:hAnsi="Arial" w:cs="Arial"/>
          <w:sz w:val="20"/>
          <w:szCs w:val="24"/>
        </w:rPr>
      </w:pPr>
    </w:p>
    <w:p w14:paraId="644AA363" w14:textId="6B622159" w:rsidR="00162C61" w:rsidRPr="00162C61" w:rsidRDefault="00162C61" w:rsidP="00B5048D">
      <w:pPr>
        <w:autoSpaceDE w:val="0"/>
        <w:autoSpaceDN w:val="0"/>
        <w:adjustRightInd w:val="0"/>
        <w:ind w:left="360"/>
        <w:rPr>
          <w:rFonts w:ascii="Arial" w:hAnsi="Arial" w:cs="Arial"/>
          <w:sz w:val="20"/>
          <w:szCs w:val="24"/>
        </w:rPr>
      </w:pPr>
      <w:r w:rsidRPr="00162C61">
        <w:rPr>
          <w:rFonts w:ascii="Arial" w:hAnsi="Arial" w:cs="Arial"/>
          <w:sz w:val="20"/>
          <w:szCs w:val="24"/>
        </w:rPr>
        <w:t>Recognized subsequent events are reflected in the financial statements. The Company will also evaluate the events for additional disclosures.  Examples may include the following:</w:t>
      </w:r>
    </w:p>
    <w:p w14:paraId="1E6B00E2" w14:textId="7D78AE1C" w:rsidR="00162C61" w:rsidRPr="00D86E67" w:rsidRDefault="00162C61" w:rsidP="00B5048D">
      <w:pPr>
        <w:pStyle w:val="ListParagraph"/>
        <w:numPr>
          <w:ilvl w:val="0"/>
          <w:numId w:val="44"/>
        </w:numPr>
        <w:autoSpaceDE w:val="0"/>
        <w:autoSpaceDN w:val="0"/>
        <w:adjustRightInd w:val="0"/>
        <w:rPr>
          <w:rFonts w:ascii="Arial" w:hAnsi="Arial" w:cs="Arial"/>
          <w:sz w:val="20"/>
        </w:rPr>
      </w:pPr>
      <w:r w:rsidRPr="00D86E67">
        <w:rPr>
          <w:rFonts w:ascii="Arial" w:hAnsi="Arial" w:cs="Arial"/>
          <w:sz w:val="20"/>
        </w:rPr>
        <w:t>Settlements of litigation related to events giving rise to a claim that took place before the balance sheet date</w:t>
      </w:r>
      <w:r w:rsidR="00C85095">
        <w:rPr>
          <w:rFonts w:ascii="Arial" w:hAnsi="Arial" w:cs="Arial"/>
          <w:sz w:val="20"/>
        </w:rPr>
        <w:t>.</w:t>
      </w:r>
      <w:r w:rsidRPr="00D86E67">
        <w:rPr>
          <w:rFonts w:ascii="Arial" w:hAnsi="Arial" w:cs="Arial"/>
          <w:sz w:val="20"/>
        </w:rPr>
        <w:t xml:space="preserve">  </w:t>
      </w:r>
    </w:p>
    <w:p w14:paraId="0A0D9182" w14:textId="27A1E088" w:rsidR="00162C61" w:rsidRDefault="00162C61" w:rsidP="00B5048D">
      <w:pPr>
        <w:pStyle w:val="ListParagraph"/>
        <w:numPr>
          <w:ilvl w:val="0"/>
          <w:numId w:val="44"/>
        </w:numPr>
        <w:autoSpaceDE w:val="0"/>
        <w:autoSpaceDN w:val="0"/>
        <w:adjustRightInd w:val="0"/>
        <w:rPr>
          <w:rFonts w:ascii="Arial" w:hAnsi="Arial" w:cs="Arial"/>
          <w:sz w:val="20"/>
        </w:rPr>
      </w:pPr>
      <w:r w:rsidRPr="00D86E67">
        <w:rPr>
          <w:rFonts w:ascii="Arial" w:hAnsi="Arial" w:cs="Arial"/>
          <w:sz w:val="20"/>
        </w:rPr>
        <w:t xml:space="preserve">Subsequent events affecting the realization of assets, such as receivables and inventories or the settlement of estimated liabilities, should be recognized in the financial statements when those events represent the culmination of conditions that existed over a relatively long period of time. For example, a loss on an uncollectible trade account receivable </w:t>
      </w:r>
      <w:proofErr w:type="gramStart"/>
      <w:r w:rsidRPr="00D86E67">
        <w:rPr>
          <w:rFonts w:ascii="Arial" w:hAnsi="Arial" w:cs="Arial"/>
          <w:sz w:val="20"/>
        </w:rPr>
        <w:t>as a result of</w:t>
      </w:r>
      <w:proofErr w:type="gramEnd"/>
      <w:r w:rsidRPr="00D86E67">
        <w:rPr>
          <w:rFonts w:ascii="Arial" w:hAnsi="Arial" w:cs="Arial"/>
          <w:sz w:val="20"/>
        </w:rPr>
        <w:t xml:space="preserve"> a customer’s deteriorating financial condition leading to bankruptcy after the balance sheet date but before the financial statements are issued or are available to be issued ordinarily will be indicative of conditions existing at the balance sheet date. Thus, the effects of the customer’s bankruptcy filing shall be considered in determining the amount of uncollectible trade accounts receivable recognized in the financial statements at balance sheet date.</w:t>
      </w:r>
    </w:p>
    <w:p w14:paraId="082F8F1C" w14:textId="2DF468F7" w:rsidR="00D86E67" w:rsidRPr="00D86E67" w:rsidRDefault="00D86E67" w:rsidP="0093197C">
      <w:pPr>
        <w:pStyle w:val="ListParagraph"/>
        <w:numPr>
          <w:ilvl w:val="0"/>
          <w:numId w:val="44"/>
        </w:numPr>
        <w:autoSpaceDE w:val="0"/>
        <w:autoSpaceDN w:val="0"/>
        <w:adjustRightInd w:val="0"/>
        <w:rPr>
          <w:rFonts w:ascii="Arial" w:hAnsi="Arial" w:cs="Arial"/>
          <w:sz w:val="20"/>
        </w:rPr>
      </w:pPr>
      <w:r w:rsidRPr="00D86E67">
        <w:rPr>
          <w:rFonts w:ascii="Arial" w:hAnsi="Arial" w:cs="Arial"/>
          <w:sz w:val="20"/>
        </w:rPr>
        <w:t>Other events such as a change in capital structure (stock dividends, splits, or reverse splits), certain postemployment benefit costs, covenant violations occurring or anticipated after the balance sheet date and refinancing short-term borrowings to long-ter</w:t>
      </w:r>
      <w:r>
        <w:rPr>
          <w:rFonts w:ascii="Arial" w:hAnsi="Arial" w:cs="Arial"/>
          <w:sz w:val="20"/>
        </w:rPr>
        <w:t>m</w:t>
      </w:r>
      <w:r w:rsidRPr="00D86E67">
        <w:rPr>
          <w:rFonts w:ascii="Arial" w:hAnsi="Arial" w:cs="Arial"/>
          <w:sz w:val="20"/>
        </w:rPr>
        <w:t xml:space="preserve"> may be considered recognized subsequent events d</w:t>
      </w:r>
      <w:r w:rsidR="00171277">
        <w:rPr>
          <w:rFonts w:ascii="Arial" w:hAnsi="Arial" w:cs="Arial"/>
          <w:sz w:val="20"/>
        </w:rPr>
        <w:t>epending on the circumstances. Technical a</w:t>
      </w:r>
      <w:r w:rsidRPr="00D86E67">
        <w:rPr>
          <w:rFonts w:ascii="Arial" w:hAnsi="Arial" w:cs="Arial"/>
          <w:sz w:val="20"/>
        </w:rPr>
        <w:t xml:space="preserve">ccounting should be consulted </w:t>
      </w:r>
      <w:proofErr w:type="gramStart"/>
      <w:r w:rsidRPr="00D86E67">
        <w:rPr>
          <w:rFonts w:ascii="Arial" w:hAnsi="Arial" w:cs="Arial"/>
          <w:sz w:val="20"/>
        </w:rPr>
        <w:t>for</w:t>
      </w:r>
      <w:proofErr w:type="gramEnd"/>
      <w:r w:rsidRPr="00D86E67">
        <w:rPr>
          <w:rFonts w:ascii="Arial" w:hAnsi="Arial" w:cs="Arial"/>
          <w:sz w:val="20"/>
        </w:rPr>
        <w:t xml:space="preserve"> such events.</w:t>
      </w:r>
    </w:p>
    <w:p w14:paraId="4593CC91" w14:textId="77777777" w:rsidR="00162C61" w:rsidRPr="00162C61" w:rsidRDefault="00162C61" w:rsidP="0093197C">
      <w:pPr>
        <w:autoSpaceDE w:val="0"/>
        <w:autoSpaceDN w:val="0"/>
        <w:adjustRightInd w:val="0"/>
        <w:ind w:left="360"/>
        <w:rPr>
          <w:rFonts w:ascii="Arial" w:hAnsi="Arial" w:cs="Arial"/>
          <w:sz w:val="20"/>
          <w:szCs w:val="24"/>
        </w:rPr>
      </w:pPr>
    </w:p>
    <w:p w14:paraId="0BDC634B" w14:textId="7374355F" w:rsidR="00162C61" w:rsidRPr="00162C61" w:rsidRDefault="00162C61" w:rsidP="0093197C">
      <w:pPr>
        <w:autoSpaceDE w:val="0"/>
        <w:autoSpaceDN w:val="0"/>
        <w:adjustRightInd w:val="0"/>
        <w:ind w:left="360"/>
        <w:rPr>
          <w:rFonts w:ascii="Arial" w:hAnsi="Arial" w:cs="Arial"/>
          <w:sz w:val="20"/>
          <w:szCs w:val="24"/>
        </w:rPr>
      </w:pPr>
      <w:r w:rsidRPr="00162C61">
        <w:rPr>
          <w:rFonts w:ascii="Arial" w:hAnsi="Arial" w:cs="Arial"/>
          <w:sz w:val="20"/>
          <w:szCs w:val="24"/>
        </w:rPr>
        <w:t>For non</w:t>
      </w:r>
      <w:r w:rsidR="00D86E67">
        <w:rPr>
          <w:rFonts w:ascii="Arial" w:hAnsi="Arial" w:cs="Arial"/>
          <w:sz w:val="20"/>
          <w:szCs w:val="24"/>
        </w:rPr>
        <w:t>-</w:t>
      </w:r>
      <w:r w:rsidRPr="00162C61">
        <w:rPr>
          <w:rFonts w:ascii="Arial" w:hAnsi="Arial" w:cs="Arial"/>
          <w:sz w:val="20"/>
          <w:szCs w:val="24"/>
        </w:rPr>
        <w:t xml:space="preserve">recognized subsequent events, </w:t>
      </w:r>
      <w:r w:rsidR="00D86E67">
        <w:rPr>
          <w:rFonts w:ascii="Arial" w:hAnsi="Arial" w:cs="Arial"/>
          <w:sz w:val="20"/>
          <w:szCs w:val="24"/>
        </w:rPr>
        <w:t>t</w:t>
      </w:r>
      <w:r w:rsidRPr="00162C61">
        <w:rPr>
          <w:rFonts w:ascii="Arial" w:hAnsi="Arial" w:cs="Arial"/>
          <w:sz w:val="20"/>
          <w:szCs w:val="24"/>
        </w:rPr>
        <w:t xml:space="preserve">here are two criteria that must </w:t>
      </w:r>
      <w:r w:rsidR="00D86E67" w:rsidRPr="00162C61">
        <w:rPr>
          <w:rFonts w:ascii="Arial" w:hAnsi="Arial" w:cs="Arial"/>
          <w:sz w:val="20"/>
          <w:szCs w:val="24"/>
        </w:rPr>
        <w:t xml:space="preserve">both </w:t>
      </w:r>
      <w:r w:rsidRPr="00162C61">
        <w:rPr>
          <w:rFonts w:ascii="Arial" w:hAnsi="Arial" w:cs="Arial"/>
          <w:sz w:val="20"/>
          <w:szCs w:val="24"/>
        </w:rPr>
        <w:t xml:space="preserve">be met for a subsequent event </w:t>
      </w:r>
      <w:r w:rsidR="00D86E67">
        <w:rPr>
          <w:rFonts w:ascii="Arial" w:hAnsi="Arial" w:cs="Arial"/>
          <w:sz w:val="20"/>
          <w:szCs w:val="24"/>
        </w:rPr>
        <w:t>to be</w:t>
      </w:r>
      <w:r w:rsidRPr="00162C61">
        <w:rPr>
          <w:rFonts w:ascii="Arial" w:hAnsi="Arial" w:cs="Arial"/>
          <w:sz w:val="20"/>
          <w:szCs w:val="24"/>
        </w:rPr>
        <w:t xml:space="preserve"> disclos</w:t>
      </w:r>
      <w:r w:rsidR="00D86E67">
        <w:rPr>
          <w:rFonts w:ascii="Arial" w:hAnsi="Arial" w:cs="Arial"/>
          <w:sz w:val="20"/>
          <w:szCs w:val="24"/>
        </w:rPr>
        <w:t>ed</w:t>
      </w:r>
      <w:r w:rsidRPr="00162C61">
        <w:rPr>
          <w:rFonts w:ascii="Arial" w:hAnsi="Arial" w:cs="Arial"/>
          <w:sz w:val="20"/>
          <w:szCs w:val="24"/>
        </w:rPr>
        <w:t>:</w:t>
      </w:r>
    </w:p>
    <w:p w14:paraId="20D9DD29" w14:textId="63452F54" w:rsidR="00162C61" w:rsidRPr="00D86E67" w:rsidRDefault="00162C61" w:rsidP="0093197C">
      <w:pPr>
        <w:pStyle w:val="ListParagraph"/>
        <w:numPr>
          <w:ilvl w:val="0"/>
          <w:numId w:val="45"/>
        </w:numPr>
        <w:autoSpaceDE w:val="0"/>
        <w:autoSpaceDN w:val="0"/>
        <w:adjustRightInd w:val="0"/>
        <w:rPr>
          <w:rFonts w:ascii="Arial" w:hAnsi="Arial" w:cs="Arial"/>
          <w:sz w:val="20"/>
        </w:rPr>
      </w:pPr>
      <w:r w:rsidRPr="00D86E67">
        <w:rPr>
          <w:rFonts w:ascii="Arial" w:hAnsi="Arial" w:cs="Arial"/>
          <w:sz w:val="20"/>
        </w:rPr>
        <w:t>The event should have a determinable significant effect on the balance sheet at the time of occurrence or on the future operations of the reporting entity.</w:t>
      </w:r>
    </w:p>
    <w:p w14:paraId="6106281D" w14:textId="2A52B67F" w:rsidR="00162C61" w:rsidRPr="00D86E67" w:rsidRDefault="00162C61" w:rsidP="0093197C">
      <w:pPr>
        <w:pStyle w:val="ListParagraph"/>
        <w:numPr>
          <w:ilvl w:val="0"/>
          <w:numId w:val="45"/>
        </w:numPr>
        <w:autoSpaceDE w:val="0"/>
        <w:autoSpaceDN w:val="0"/>
        <w:adjustRightInd w:val="0"/>
        <w:rPr>
          <w:rFonts w:ascii="Arial" w:hAnsi="Arial" w:cs="Arial"/>
          <w:sz w:val="20"/>
        </w:rPr>
      </w:pPr>
      <w:r w:rsidRPr="00D86E67">
        <w:rPr>
          <w:rFonts w:ascii="Arial" w:hAnsi="Arial" w:cs="Arial"/>
          <w:sz w:val="20"/>
        </w:rPr>
        <w:t xml:space="preserve">Without disclosure of it, the financial statements would be misleading.  </w:t>
      </w:r>
    </w:p>
    <w:p w14:paraId="0FEA1DA0" w14:textId="722EF7D0" w:rsidR="00162C61" w:rsidRPr="00D86E67" w:rsidRDefault="00162C61" w:rsidP="0093197C">
      <w:pPr>
        <w:pStyle w:val="ListParagraph"/>
        <w:numPr>
          <w:ilvl w:val="0"/>
          <w:numId w:val="45"/>
        </w:numPr>
        <w:autoSpaceDE w:val="0"/>
        <w:autoSpaceDN w:val="0"/>
        <w:adjustRightInd w:val="0"/>
        <w:rPr>
          <w:rFonts w:ascii="Arial" w:hAnsi="Arial" w:cs="Arial"/>
          <w:sz w:val="20"/>
        </w:rPr>
      </w:pPr>
      <w:r w:rsidRPr="00D86E67">
        <w:rPr>
          <w:rFonts w:ascii="Arial" w:hAnsi="Arial" w:cs="Arial"/>
          <w:sz w:val="20"/>
        </w:rPr>
        <w:t>Examples of non</w:t>
      </w:r>
      <w:r w:rsidR="00D86E67">
        <w:rPr>
          <w:rFonts w:ascii="Arial" w:hAnsi="Arial" w:cs="Arial"/>
          <w:sz w:val="20"/>
        </w:rPr>
        <w:t>-</w:t>
      </w:r>
      <w:r w:rsidRPr="00D86E67">
        <w:rPr>
          <w:rFonts w:ascii="Arial" w:hAnsi="Arial" w:cs="Arial"/>
          <w:sz w:val="20"/>
        </w:rPr>
        <w:t>recognized subsequent events include:</w:t>
      </w:r>
    </w:p>
    <w:p w14:paraId="237F4CB5" w14:textId="1D92D064" w:rsidR="00162C61" w:rsidRPr="00D86E67" w:rsidRDefault="00162C61" w:rsidP="0093197C">
      <w:pPr>
        <w:pStyle w:val="ListParagraph"/>
        <w:numPr>
          <w:ilvl w:val="1"/>
          <w:numId w:val="45"/>
        </w:numPr>
        <w:autoSpaceDE w:val="0"/>
        <w:autoSpaceDN w:val="0"/>
        <w:adjustRightInd w:val="0"/>
        <w:rPr>
          <w:rFonts w:ascii="Arial" w:hAnsi="Arial" w:cs="Arial"/>
          <w:sz w:val="20"/>
        </w:rPr>
      </w:pPr>
      <w:r w:rsidRPr="00D86E67">
        <w:rPr>
          <w:rFonts w:ascii="Arial" w:hAnsi="Arial" w:cs="Arial"/>
          <w:sz w:val="20"/>
        </w:rPr>
        <w:t>Sale of a bond or capital stock issued after the balance sheet date but before financial statements are issued or are available to be issued.</w:t>
      </w:r>
    </w:p>
    <w:p w14:paraId="65AE7D77" w14:textId="5D85026F" w:rsidR="00162C61" w:rsidRPr="00D86E67" w:rsidRDefault="00162C61" w:rsidP="0093197C">
      <w:pPr>
        <w:pStyle w:val="ListParagraph"/>
        <w:numPr>
          <w:ilvl w:val="1"/>
          <w:numId w:val="45"/>
        </w:numPr>
        <w:autoSpaceDE w:val="0"/>
        <w:autoSpaceDN w:val="0"/>
        <w:adjustRightInd w:val="0"/>
        <w:rPr>
          <w:rFonts w:ascii="Arial" w:hAnsi="Arial" w:cs="Arial"/>
          <w:sz w:val="20"/>
        </w:rPr>
      </w:pPr>
      <w:r w:rsidRPr="00D86E67">
        <w:rPr>
          <w:rFonts w:ascii="Arial" w:hAnsi="Arial" w:cs="Arial"/>
          <w:sz w:val="20"/>
        </w:rPr>
        <w:t>A business combination that occurs after the balance sheet date but before financial statements are issued or are available to be issued.</w:t>
      </w:r>
    </w:p>
    <w:p w14:paraId="72102388" w14:textId="6EA68F0B" w:rsidR="00162C61" w:rsidRPr="00D86E67" w:rsidRDefault="00162C61" w:rsidP="0093197C">
      <w:pPr>
        <w:pStyle w:val="ListParagraph"/>
        <w:numPr>
          <w:ilvl w:val="1"/>
          <w:numId w:val="45"/>
        </w:numPr>
        <w:autoSpaceDE w:val="0"/>
        <w:autoSpaceDN w:val="0"/>
        <w:adjustRightInd w:val="0"/>
        <w:rPr>
          <w:rFonts w:ascii="Arial" w:hAnsi="Arial" w:cs="Arial"/>
          <w:sz w:val="20"/>
        </w:rPr>
      </w:pPr>
      <w:r w:rsidRPr="00D86E67">
        <w:rPr>
          <w:rFonts w:ascii="Arial" w:hAnsi="Arial" w:cs="Arial"/>
          <w:sz w:val="20"/>
        </w:rPr>
        <w:t>Settlement of litigation when the event giving rise to the claim took place after the balance sheet date but before financial statements are issued or are available to be issued.</w:t>
      </w:r>
    </w:p>
    <w:p w14:paraId="7030086C" w14:textId="21FD20C6" w:rsidR="00162C61" w:rsidRPr="00D86E67" w:rsidRDefault="00162C61" w:rsidP="0093197C">
      <w:pPr>
        <w:pStyle w:val="ListParagraph"/>
        <w:numPr>
          <w:ilvl w:val="1"/>
          <w:numId w:val="45"/>
        </w:numPr>
        <w:autoSpaceDE w:val="0"/>
        <w:autoSpaceDN w:val="0"/>
        <w:adjustRightInd w:val="0"/>
        <w:rPr>
          <w:rFonts w:ascii="Arial" w:hAnsi="Arial" w:cs="Arial"/>
          <w:sz w:val="20"/>
        </w:rPr>
      </w:pPr>
      <w:r w:rsidRPr="00D86E67">
        <w:rPr>
          <w:rFonts w:ascii="Arial" w:hAnsi="Arial" w:cs="Arial"/>
          <w:sz w:val="20"/>
        </w:rPr>
        <w:t xml:space="preserve">Loss of </w:t>
      </w:r>
      <w:proofErr w:type="gramStart"/>
      <w:r w:rsidRPr="00D86E67">
        <w:rPr>
          <w:rFonts w:ascii="Arial" w:hAnsi="Arial" w:cs="Arial"/>
          <w:sz w:val="20"/>
        </w:rPr>
        <w:t>plant</w:t>
      </w:r>
      <w:proofErr w:type="gramEnd"/>
      <w:r w:rsidRPr="00D86E67">
        <w:rPr>
          <w:rFonts w:ascii="Arial" w:hAnsi="Arial" w:cs="Arial"/>
          <w:sz w:val="20"/>
        </w:rPr>
        <w:t xml:space="preserve"> or inventories </w:t>
      </w:r>
      <w:proofErr w:type="gramStart"/>
      <w:r w:rsidRPr="00D86E67">
        <w:rPr>
          <w:rFonts w:ascii="Arial" w:hAnsi="Arial" w:cs="Arial"/>
          <w:sz w:val="20"/>
        </w:rPr>
        <w:t>as a result of</w:t>
      </w:r>
      <w:proofErr w:type="gramEnd"/>
      <w:r w:rsidRPr="00D86E67">
        <w:rPr>
          <w:rFonts w:ascii="Arial" w:hAnsi="Arial" w:cs="Arial"/>
          <w:sz w:val="20"/>
        </w:rPr>
        <w:t xml:space="preserve"> fire or natural disaster that occurred after the balance sheet date but before financial statements are issued or are available to be issued</w:t>
      </w:r>
    </w:p>
    <w:p w14:paraId="7DC00659" w14:textId="36578F2B" w:rsidR="00162C61" w:rsidRPr="00D86E67" w:rsidRDefault="00162C61" w:rsidP="0093197C">
      <w:pPr>
        <w:pStyle w:val="ListParagraph"/>
        <w:numPr>
          <w:ilvl w:val="1"/>
          <w:numId w:val="45"/>
        </w:numPr>
        <w:autoSpaceDE w:val="0"/>
        <w:autoSpaceDN w:val="0"/>
        <w:adjustRightInd w:val="0"/>
        <w:rPr>
          <w:rFonts w:ascii="Arial" w:hAnsi="Arial" w:cs="Arial"/>
          <w:sz w:val="20"/>
        </w:rPr>
      </w:pPr>
      <w:r w:rsidRPr="00D86E67">
        <w:rPr>
          <w:rFonts w:ascii="Arial" w:hAnsi="Arial" w:cs="Arial"/>
          <w:sz w:val="20"/>
        </w:rPr>
        <w:t>Losses on receivables resulting from conditions (such as a customer’s major casualty) arising after the balance sheet date but before financial statements are issued or are available to be issued</w:t>
      </w:r>
    </w:p>
    <w:p w14:paraId="4AC092EC" w14:textId="4AAF936A" w:rsidR="00162C61" w:rsidRPr="00D86E67" w:rsidRDefault="00162C61" w:rsidP="0093197C">
      <w:pPr>
        <w:pStyle w:val="ListParagraph"/>
        <w:numPr>
          <w:ilvl w:val="1"/>
          <w:numId w:val="45"/>
        </w:numPr>
        <w:autoSpaceDE w:val="0"/>
        <w:autoSpaceDN w:val="0"/>
        <w:adjustRightInd w:val="0"/>
        <w:rPr>
          <w:rFonts w:ascii="Arial" w:hAnsi="Arial" w:cs="Arial"/>
          <w:sz w:val="20"/>
        </w:rPr>
      </w:pPr>
      <w:r w:rsidRPr="00D86E67">
        <w:rPr>
          <w:rFonts w:ascii="Arial" w:hAnsi="Arial" w:cs="Arial"/>
          <w:sz w:val="20"/>
        </w:rPr>
        <w:t>Changes in the fair value of assets or liabilities (financial or nonfinancial) or foreign exchange rates after the balance sheet date but before financial statements are issued or are available to be issued</w:t>
      </w:r>
    </w:p>
    <w:p w14:paraId="58D134AF" w14:textId="2A57ED8C" w:rsidR="00162C61" w:rsidRPr="00D86E67" w:rsidRDefault="00162C61" w:rsidP="0093197C">
      <w:pPr>
        <w:pStyle w:val="ListParagraph"/>
        <w:numPr>
          <w:ilvl w:val="1"/>
          <w:numId w:val="45"/>
        </w:numPr>
        <w:autoSpaceDE w:val="0"/>
        <w:autoSpaceDN w:val="0"/>
        <w:adjustRightInd w:val="0"/>
        <w:rPr>
          <w:rFonts w:ascii="Arial" w:hAnsi="Arial" w:cs="Arial"/>
          <w:sz w:val="20"/>
        </w:rPr>
      </w:pPr>
      <w:proofErr w:type="gramStart"/>
      <w:r w:rsidRPr="00D86E67">
        <w:rPr>
          <w:rFonts w:ascii="Arial" w:hAnsi="Arial" w:cs="Arial"/>
          <w:sz w:val="20"/>
        </w:rPr>
        <w:t>Entering into</w:t>
      </w:r>
      <w:proofErr w:type="gramEnd"/>
      <w:r w:rsidRPr="00D86E67">
        <w:rPr>
          <w:rFonts w:ascii="Arial" w:hAnsi="Arial" w:cs="Arial"/>
          <w:sz w:val="20"/>
        </w:rPr>
        <w:t xml:space="preserve"> significant commitments or contingent liabilities, for example, by issuing significant guarantees after the balance sheet date but before financial statements are issued or are available to be issued.</w:t>
      </w:r>
    </w:p>
    <w:p w14:paraId="6CDF0C51" w14:textId="2E4852EC" w:rsidR="00162C61" w:rsidRPr="00162C61" w:rsidRDefault="00162C61" w:rsidP="0093197C">
      <w:pPr>
        <w:autoSpaceDE w:val="0"/>
        <w:autoSpaceDN w:val="0"/>
        <w:adjustRightInd w:val="0"/>
        <w:ind w:left="360"/>
        <w:rPr>
          <w:rFonts w:ascii="Arial" w:hAnsi="Arial" w:cs="Arial"/>
          <w:sz w:val="20"/>
          <w:szCs w:val="24"/>
        </w:rPr>
      </w:pPr>
    </w:p>
    <w:p w14:paraId="245F291D" w14:textId="77777777" w:rsidR="00162C61" w:rsidRPr="00162C61" w:rsidRDefault="00162C61" w:rsidP="0093197C">
      <w:pPr>
        <w:autoSpaceDE w:val="0"/>
        <w:autoSpaceDN w:val="0"/>
        <w:adjustRightInd w:val="0"/>
        <w:ind w:left="360"/>
        <w:rPr>
          <w:rFonts w:ascii="Arial" w:hAnsi="Arial" w:cs="Arial"/>
          <w:sz w:val="20"/>
          <w:szCs w:val="24"/>
        </w:rPr>
      </w:pPr>
      <w:r w:rsidRPr="00162C61">
        <w:rPr>
          <w:rFonts w:ascii="Arial" w:hAnsi="Arial" w:cs="Arial"/>
          <w:sz w:val="20"/>
          <w:szCs w:val="24"/>
        </w:rPr>
        <w:t xml:space="preserve">If it is determined that disclosure is necessary, the Company will include: </w:t>
      </w:r>
    </w:p>
    <w:p w14:paraId="71B91413" w14:textId="2AE48B2A" w:rsidR="00162C61" w:rsidRPr="00D86E67" w:rsidRDefault="00162C61" w:rsidP="0093197C">
      <w:pPr>
        <w:pStyle w:val="ListParagraph"/>
        <w:numPr>
          <w:ilvl w:val="0"/>
          <w:numId w:val="46"/>
        </w:numPr>
        <w:autoSpaceDE w:val="0"/>
        <w:autoSpaceDN w:val="0"/>
        <w:adjustRightInd w:val="0"/>
        <w:rPr>
          <w:rFonts w:ascii="Arial" w:hAnsi="Arial" w:cs="Arial"/>
          <w:sz w:val="20"/>
        </w:rPr>
      </w:pPr>
      <w:r w:rsidRPr="00D86E67">
        <w:rPr>
          <w:rFonts w:ascii="Arial" w:hAnsi="Arial" w:cs="Arial"/>
          <w:sz w:val="20"/>
        </w:rPr>
        <w:t>Nature of the event, and</w:t>
      </w:r>
    </w:p>
    <w:p w14:paraId="0910776A" w14:textId="64E3CCA4" w:rsidR="00162C61" w:rsidRPr="00D86E67" w:rsidRDefault="00162C61" w:rsidP="0093197C">
      <w:pPr>
        <w:pStyle w:val="ListParagraph"/>
        <w:numPr>
          <w:ilvl w:val="0"/>
          <w:numId w:val="46"/>
        </w:numPr>
        <w:autoSpaceDE w:val="0"/>
        <w:autoSpaceDN w:val="0"/>
        <w:adjustRightInd w:val="0"/>
        <w:rPr>
          <w:rFonts w:ascii="Arial" w:hAnsi="Arial" w:cs="Arial"/>
          <w:sz w:val="20"/>
        </w:rPr>
      </w:pPr>
      <w:r w:rsidRPr="00D86E67">
        <w:rPr>
          <w:rFonts w:ascii="Arial" w:hAnsi="Arial" w:cs="Arial"/>
          <w:sz w:val="20"/>
        </w:rPr>
        <w:t>Estimate of the impact on the financial statements or an assertion that an estimate cannot be made.</w:t>
      </w:r>
    </w:p>
    <w:p w14:paraId="491DB179" w14:textId="77777777" w:rsidR="00DF7DFD" w:rsidRDefault="00DF7DFD" w:rsidP="0093197C">
      <w:pPr>
        <w:ind w:left="1080"/>
        <w:rPr>
          <w:rFonts w:ascii="Arial" w:hAnsi="Arial" w:cs="Arial"/>
          <w:sz w:val="20"/>
        </w:rPr>
      </w:pPr>
    </w:p>
    <w:p w14:paraId="132E4A5F" w14:textId="77777777" w:rsidR="00DF7DFD" w:rsidRDefault="00F62BB8" w:rsidP="0093197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sz w:val="20"/>
        </w:rPr>
      </w:pPr>
      <w:bookmarkStart w:id="29" w:name="_Segment_Reporting"/>
      <w:bookmarkEnd w:id="29"/>
      <w:r>
        <w:rPr>
          <w:rFonts w:ascii="Century Gothic" w:hAnsi="Century Gothic" w:cs="Arial"/>
          <w:sz w:val="20"/>
        </w:rPr>
        <w:t xml:space="preserve">Segment Reporting                                                                                                                                             </w:t>
      </w:r>
    </w:p>
    <w:p w14:paraId="71E7E910" w14:textId="1F4511F4" w:rsidR="00DF7DFD" w:rsidRPr="00830F2F" w:rsidRDefault="00F62BB8" w:rsidP="0093197C">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Pr>
          <w:rFonts w:ascii="Arial" w:hAnsi="Arial" w:cs="Arial"/>
          <w:b w:val="0"/>
          <w:sz w:val="20"/>
        </w:rPr>
        <w:t xml:space="preserve">The Company identifies a business as an operating segment if: </w:t>
      </w:r>
      <w:proofErr w:type="spellStart"/>
      <w:r>
        <w:rPr>
          <w:rFonts w:ascii="Arial" w:hAnsi="Arial" w:cs="Arial"/>
          <w:b w:val="0"/>
          <w:sz w:val="20"/>
        </w:rPr>
        <w:t>i</w:t>
      </w:r>
      <w:proofErr w:type="spellEnd"/>
      <w:r>
        <w:rPr>
          <w:rFonts w:ascii="Arial" w:hAnsi="Arial" w:cs="Arial"/>
          <w:b w:val="0"/>
          <w:sz w:val="20"/>
        </w:rPr>
        <w:t>) it engages in business activities from which it may earn revenues and incur expenses; ii) its operating results are regularly reviewed by the Chief Operating Decision Maker</w:t>
      </w:r>
      <w:r w:rsidR="00126402">
        <w:rPr>
          <w:rFonts w:ascii="Arial" w:hAnsi="Arial" w:cs="Arial"/>
          <w:b w:val="0"/>
          <w:sz w:val="20"/>
        </w:rPr>
        <w:t xml:space="preserve"> (</w:t>
      </w:r>
      <w:r>
        <w:rPr>
          <w:rFonts w:ascii="Arial" w:hAnsi="Arial" w:cs="Arial"/>
          <w:b w:val="0"/>
          <w:sz w:val="20"/>
        </w:rPr>
        <w:t xml:space="preserve"> CODM</w:t>
      </w:r>
      <w:r w:rsidR="00126402">
        <w:rPr>
          <w:rFonts w:ascii="Arial" w:hAnsi="Arial" w:cs="Arial"/>
          <w:b w:val="0"/>
          <w:sz w:val="20"/>
        </w:rPr>
        <w:t>)</w:t>
      </w:r>
      <w:r>
        <w:rPr>
          <w:rFonts w:ascii="Arial" w:hAnsi="Arial" w:cs="Arial"/>
          <w:b w:val="0"/>
          <w:sz w:val="20"/>
        </w:rPr>
        <w:t xml:space="preserve">, to make decisions about resources to be allocated to the segment and assess its performance; and iii) it has available discrete financial information. </w:t>
      </w:r>
      <w:r w:rsidRPr="009D7A9F">
        <w:rPr>
          <w:rFonts w:ascii="Arial" w:hAnsi="Arial" w:cs="Arial"/>
          <w:b w:val="0"/>
          <w:sz w:val="20"/>
          <w:u w:val="single"/>
        </w:rPr>
        <w:t>The Company’s CODM is its Chief Executive Officer.</w:t>
      </w:r>
      <w:r>
        <w:rPr>
          <w:rFonts w:ascii="Arial" w:hAnsi="Arial" w:cs="Arial"/>
          <w:b w:val="0"/>
          <w:sz w:val="20"/>
        </w:rPr>
        <w:t xml:space="preserve"> The CODM reviews financial information at the operating segment level to allocate resources and to assess the operating results and financial performance for each operating segment.</w:t>
      </w:r>
      <w:r w:rsidR="00830F2F">
        <w:rPr>
          <w:rFonts w:ascii="Arial" w:hAnsi="Arial" w:cs="Arial"/>
          <w:b w:val="0"/>
          <w:sz w:val="20"/>
        </w:rPr>
        <w:t xml:space="preserve"> </w:t>
      </w:r>
      <w:r w:rsidR="00830F2F" w:rsidRPr="009D7A9F">
        <w:rPr>
          <w:rFonts w:ascii="Arial" w:hAnsi="Arial" w:cs="Arial"/>
          <w:b w:val="0"/>
          <w:sz w:val="20"/>
        </w:rPr>
        <w:t>Segment adjusted EBITDA is the segment profitability metric reported to the Company’s CODM for purposes of decisions about allocation of resources to, and assessing performance of, each reportable segment</w:t>
      </w:r>
      <w:r w:rsidR="00830F2F" w:rsidRPr="00830F2F">
        <w:rPr>
          <w:rFonts w:ascii="Arial" w:hAnsi="Arial" w:cs="Arial"/>
          <w:b w:val="0"/>
          <w:sz w:val="20"/>
        </w:rPr>
        <w:t>.</w:t>
      </w:r>
    </w:p>
    <w:p w14:paraId="68E500BF" w14:textId="77777777" w:rsidR="00DF7DFD" w:rsidRDefault="00DF7DFD" w:rsidP="0093197C">
      <w:pPr>
        <w:spacing w:line="0" w:lineRule="atLeast"/>
        <w:rPr>
          <w:rFonts w:ascii="Arial" w:hAnsi="Arial" w:cs="Arial"/>
          <w:sz w:val="20"/>
        </w:rPr>
      </w:pPr>
    </w:p>
    <w:p w14:paraId="345A9BFE" w14:textId="06EA5129" w:rsidR="00DF7DFD" w:rsidRDefault="00F62BB8" w:rsidP="00830F2F">
      <w:pPr>
        <w:autoSpaceDE w:val="0"/>
        <w:autoSpaceDN w:val="0"/>
        <w:adjustRightInd w:val="0"/>
        <w:ind w:left="360"/>
        <w:rPr>
          <w:rFonts w:ascii="Arial" w:hAnsi="Arial" w:cs="Arial"/>
          <w:sz w:val="20"/>
        </w:rPr>
      </w:pPr>
      <w:r>
        <w:rPr>
          <w:rFonts w:ascii="Arial" w:hAnsi="Arial" w:cs="Arial"/>
          <w:sz w:val="20"/>
        </w:rPr>
        <w:t xml:space="preserve">The </w:t>
      </w:r>
      <w:r w:rsidRPr="009D7A9F">
        <w:rPr>
          <w:rFonts w:ascii="Arial" w:hAnsi="Arial" w:cs="Arial"/>
          <w:sz w:val="20"/>
          <w:u w:val="single"/>
        </w:rPr>
        <w:t>Company</w:t>
      </w:r>
      <w:r w:rsidR="008A2CD3">
        <w:rPr>
          <w:rFonts w:ascii="Arial" w:hAnsi="Arial" w:cs="Arial"/>
          <w:sz w:val="20"/>
          <w:u w:val="single"/>
        </w:rPr>
        <w:t xml:space="preserve"> has </w:t>
      </w:r>
      <w:r w:rsidR="00DD50C8" w:rsidRPr="009D7A9F">
        <w:rPr>
          <w:rFonts w:ascii="Arial" w:hAnsi="Arial" w:cs="Arial"/>
          <w:sz w:val="20"/>
          <w:u w:val="single"/>
        </w:rPr>
        <w:t xml:space="preserve">two </w:t>
      </w:r>
      <w:r w:rsidRPr="009D7A9F">
        <w:rPr>
          <w:rFonts w:ascii="Arial" w:hAnsi="Arial" w:cs="Arial"/>
          <w:sz w:val="20"/>
          <w:u w:val="single"/>
        </w:rPr>
        <w:t>reportable segments</w:t>
      </w:r>
      <w:r w:rsidR="008A2CD3">
        <w:rPr>
          <w:rFonts w:ascii="Arial" w:hAnsi="Arial" w:cs="Arial"/>
          <w:sz w:val="20"/>
          <w:u w:val="single"/>
        </w:rPr>
        <w:t xml:space="preserve"> - </w:t>
      </w:r>
      <w:r w:rsidR="00753DCC" w:rsidRPr="00830F2F">
        <w:rPr>
          <w:rFonts w:ascii="Arial" w:hAnsi="Arial" w:cs="Arial"/>
          <w:sz w:val="20"/>
          <w:u w:val="single"/>
        </w:rPr>
        <w:t>U.</w:t>
      </w:r>
      <w:r w:rsidR="00753DCC" w:rsidRPr="009D7A9F">
        <w:rPr>
          <w:rFonts w:ascii="Arial" w:hAnsi="Arial" w:cs="Arial"/>
          <w:sz w:val="20"/>
          <w:u w:val="single"/>
        </w:rPr>
        <w:t>S. and International</w:t>
      </w:r>
      <w:r w:rsidR="00753DCC">
        <w:rPr>
          <w:rFonts w:ascii="Arial" w:hAnsi="Arial" w:cs="Arial"/>
          <w:sz w:val="20"/>
        </w:rPr>
        <w:t>.</w:t>
      </w:r>
      <w:r w:rsidR="00753DCC" w:rsidRPr="00753DCC">
        <w:rPr>
          <w:rFonts w:ascii="Arial" w:hAnsi="Arial" w:cs="Arial"/>
          <w:sz w:val="20"/>
        </w:rPr>
        <w:t xml:space="preserve"> U.S.</w:t>
      </w:r>
      <w:r w:rsidR="00753DCC">
        <w:rPr>
          <w:rFonts w:ascii="Arial" w:hAnsi="Arial" w:cs="Arial"/>
          <w:sz w:val="20"/>
        </w:rPr>
        <w:t xml:space="preserve"> and</w:t>
      </w:r>
      <w:r w:rsidR="00753DCC" w:rsidRPr="00753DCC">
        <w:rPr>
          <w:rFonts w:ascii="Arial" w:hAnsi="Arial" w:cs="Arial"/>
          <w:sz w:val="20"/>
        </w:rPr>
        <w:t xml:space="preserve"> International</w:t>
      </w:r>
      <w:r w:rsidR="00753DCC">
        <w:rPr>
          <w:rFonts w:ascii="Arial" w:hAnsi="Arial" w:cs="Arial"/>
          <w:sz w:val="20"/>
        </w:rPr>
        <w:t xml:space="preserve"> </w:t>
      </w:r>
      <w:r>
        <w:rPr>
          <w:rFonts w:ascii="Arial" w:hAnsi="Arial" w:cs="Arial"/>
          <w:sz w:val="20"/>
        </w:rPr>
        <w:t>products are primarily sold to</w:t>
      </w:r>
      <w:r w:rsidR="00830F2F">
        <w:rPr>
          <w:rFonts w:ascii="Arial" w:hAnsi="Arial" w:cs="Arial"/>
          <w:sz w:val="20"/>
        </w:rPr>
        <w:t xml:space="preserve"> </w:t>
      </w:r>
      <w:r>
        <w:rPr>
          <w:rFonts w:ascii="Arial" w:hAnsi="Arial" w:cs="Arial"/>
          <w:sz w:val="20"/>
        </w:rPr>
        <w:t xml:space="preserve">orthopedists, musculoskeletal and sports medicine physicians, podiatrists, </w:t>
      </w:r>
      <w:r w:rsidR="00830F2F">
        <w:rPr>
          <w:rFonts w:ascii="Arial" w:hAnsi="Arial" w:cs="Arial"/>
          <w:sz w:val="20"/>
        </w:rPr>
        <w:t>neurosurgeons,</w:t>
      </w:r>
      <w:r>
        <w:rPr>
          <w:rFonts w:ascii="Arial" w:hAnsi="Arial" w:cs="Arial"/>
          <w:sz w:val="20"/>
        </w:rPr>
        <w:t xml:space="preserve"> and orthopedic spine surgeons</w:t>
      </w:r>
      <w:r w:rsidR="00753DCC">
        <w:rPr>
          <w:rFonts w:ascii="Arial" w:hAnsi="Arial" w:cs="Arial"/>
          <w:sz w:val="20"/>
        </w:rPr>
        <w:t xml:space="preserve"> </w:t>
      </w:r>
      <w:r w:rsidR="00753DCC" w:rsidRPr="00753DCC">
        <w:rPr>
          <w:rFonts w:ascii="Arial" w:hAnsi="Arial" w:cs="Arial"/>
          <w:sz w:val="20"/>
        </w:rPr>
        <w:t>as well as directly to their patients</w:t>
      </w:r>
      <w:r>
        <w:rPr>
          <w:rFonts w:ascii="Arial" w:hAnsi="Arial" w:cs="Arial"/>
          <w:sz w:val="20"/>
        </w:rPr>
        <w:t xml:space="preserve">. </w:t>
      </w:r>
    </w:p>
    <w:p w14:paraId="131F3BBD" w14:textId="77777777" w:rsidR="00DF7DFD" w:rsidRDefault="00DF7DFD" w:rsidP="0093197C">
      <w:pPr>
        <w:rPr>
          <w:rFonts w:ascii="Arial" w:hAnsi="Arial" w:cs="Arial"/>
        </w:rPr>
      </w:pPr>
    </w:p>
    <w:p w14:paraId="30437AAF" w14:textId="77777777" w:rsidR="00DF7DFD" w:rsidRDefault="00F62BB8" w:rsidP="0093197C">
      <w:pPr>
        <w:pStyle w:val="Heading2"/>
        <w:numPr>
          <w:ilvl w:val="1"/>
          <w:numId w:val="2"/>
        </w:numPr>
        <w:tabs>
          <w:tab w:val="clear" w:pos="1440"/>
          <w:tab w:val="clear" w:pos="2880"/>
          <w:tab w:val="clear" w:pos="4395"/>
          <w:tab w:val="clear" w:pos="5760"/>
          <w:tab w:val="clear" w:pos="7560"/>
        </w:tabs>
        <w:spacing w:line="0" w:lineRule="atLeast"/>
        <w:ind w:left="360" w:hanging="360"/>
        <w:rPr>
          <w:rFonts w:ascii="Arial" w:hAnsi="Arial" w:cs="Arial"/>
          <w:bCs w:val="0"/>
          <w:sz w:val="20"/>
        </w:rPr>
      </w:pPr>
      <w:bookmarkStart w:id="30" w:name="_Use_of_Estimates/Sensitive"/>
      <w:bookmarkEnd w:id="30"/>
      <w:r>
        <w:rPr>
          <w:rFonts w:ascii="Century Gothic" w:hAnsi="Century Gothic" w:cs="Arial"/>
          <w:sz w:val="20"/>
        </w:rPr>
        <w:t>Use of Estimates</w:t>
      </w:r>
      <w:r w:rsidR="00A302EC">
        <w:rPr>
          <w:rFonts w:ascii="Century Gothic" w:hAnsi="Century Gothic" w:cs="Arial"/>
          <w:sz w:val="20"/>
        </w:rPr>
        <w:t>/Sensitive Estimates</w:t>
      </w:r>
    </w:p>
    <w:p w14:paraId="6B318063" w14:textId="77777777" w:rsidR="00A20360" w:rsidRPr="00A20360" w:rsidRDefault="00A20360" w:rsidP="0093197C">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A20360">
        <w:rPr>
          <w:rFonts w:ascii="Arial" w:hAnsi="Arial" w:cs="Arial"/>
          <w:b w:val="0"/>
          <w:sz w:val="20"/>
        </w:rPr>
        <w:t>In preparing the consolidated financial statements, estimates and assumptions should be based on management’s best knowledge of current events and actions (including but not limited to experience/history, comparables, and change in current market price).  Revisions to estimates should be recognized prospectively.</w:t>
      </w:r>
    </w:p>
    <w:p w14:paraId="651745E8" w14:textId="77777777" w:rsidR="00A20360" w:rsidRPr="00A20360" w:rsidRDefault="00A20360" w:rsidP="0093197C">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p>
    <w:p w14:paraId="15956515" w14:textId="233A15FC" w:rsidR="003A66D6" w:rsidRDefault="00A20360" w:rsidP="0093197C">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A20360">
        <w:rPr>
          <w:rFonts w:ascii="Arial" w:hAnsi="Arial" w:cs="Arial"/>
          <w:b w:val="0"/>
          <w:sz w:val="20"/>
        </w:rPr>
        <w:t xml:space="preserve">Corporate Accounting must ensure the accuracy of all estimates, and in particular those that are sensitive and complex in nature, including </w:t>
      </w:r>
      <w:r w:rsidR="004A3895" w:rsidRPr="004A3895">
        <w:rPr>
          <w:rFonts w:ascii="Arial" w:hAnsi="Arial" w:cs="Arial"/>
          <w:b w:val="0"/>
          <w:sz w:val="20"/>
        </w:rPr>
        <w:t xml:space="preserve">contractual allowances and sales </w:t>
      </w:r>
      <w:r w:rsidR="004A3895" w:rsidRPr="00EA2905">
        <w:rPr>
          <w:rFonts w:ascii="Arial" w:hAnsi="Arial" w:cs="Arial"/>
          <w:b w:val="0"/>
          <w:sz w:val="20"/>
        </w:rPr>
        <w:t xml:space="preserve">incentives, </w:t>
      </w:r>
      <w:r w:rsidRPr="00EA2905">
        <w:rPr>
          <w:rFonts w:ascii="Arial" w:hAnsi="Arial" w:cs="Arial"/>
          <w:b w:val="0"/>
          <w:sz w:val="20"/>
        </w:rPr>
        <w:t xml:space="preserve">allowance for </w:t>
      </w:r>
      <w:r w:rsidR="00EA2905" w:rsidRPr="00EA2905">
        <w:rPr>
          <w:rFonts w:ascii="Arial" w:hAnsi="Arial" w:cs="Arial"/>
          <w:b w:val="0"/>
          <w:sz w:val="20"/>
        </w:rPr>
        <w:t xml:space="preserve">credit losses </w:t>
      </w:r>
      <w:r w:rsidRPr="00A20360">
        <w:rPr>
          <w:rFonts w:ascii="Arial" w:hAnsi="Arial" w:cs="Arial"/>
          <w:b w:val="0"/>
          <w:sz w:val="20"/>
        </w:rPr>
        <w:t xml:space="preserve">(estimates of future cash flows), </w:t>
      </w:r>
      <w:r w:rsidR="004A3895" w:rsidRPr="004A3895">
        <w:rPr>
          <w:rFonts w:ascii="Arial" w:hAnsi="Arial" w:cs="Arial"/>
          <w:b w:val="0"/>
          <w:sz w:val="20"/>
        </w:rPr>
        <w:t>inventory reserves, goodwill and intangible assets impairment</w:t>
      </w:r>
      <w:r w:rsidR="004A3895">
        <w:rPr>
          <w:rFonts w:ascii="Arial" w:hAnsi="Arial" w:cs="Arial"/>
          <w:b w:val="0"/>
          <w:sz w:val="20"/>
        </w:rPr>
        <w:t>,</w:t>
      </w:r>
      <w:r w:rsidR="004A3895" w:rsidRPr="004A3895">
        <w:rPr>
          <w:rFonts w:ascii="Arial" w:hAnsi="Arial" w:cs="Arial"/>
          <w:b w:val="0"/>
          <w:sz w:val="20"/>
        </w:rPr>
        <w:t xml:space="preserve"> </w:t>
      </w:r>
      <w:r w:rsidRPr="00A20360">
        <w:rPr>
          <w:rFonts w:ascii="Arial" w:hAnsi="Arial" w:cs="Arial"/>
          <w:b w:val="0"/>
          <w:sz w:val="20"/>
        </w:rPr>
        <w:t xml:space="preserve">useful lives </w:t>
      </w:r>
      <w:r w:rsidR="004A3895" w:rsidRPr="004A3895">
        <w:rPr>
          <w:rFonts w:ascii="Arial" w:hAnsi="Arial" w:cs="Arial"/>
          <w:b w:val="0"/>
          <w:sz w:val="20"/>
        </w:rPr>
        <w:t xml:space="preserve">of long lived assets, noncontrolling interest, fair value measurements, litigation and contingent liabilities, income taxes, and </w:t>
      </w:r>
      <w:r w:rsidR="00DA3940">
        <w:rPr>
          <w:rFonts w:ascii="Arial" w:hAnsi="Arial" w:cs="Arial"/>
          <w:b w:val="0"/>
          <w:sz w:val="20"/>
        </w:rPr>
        <w:t>stock</w:t>
      </w:r>
      <w:r w:rsidR="004A3895" w:rsidRPr="004A3895">
        <w:rPr>
          <w:rFonts w:ascii="Arial" w:hAnsi="Arial" w:cs="Arial"/>
          <w:b w:val="0"/>
          <w:sz w:val="20"/>
        </w:rPr>
        <w:t>-based compensation</w:t>
      </w:r>
      <w:r w:rsidRPr="00A20360">
        <w:rPr>
          <w:rFonts w:ascii="Arial" w:hAnsi="Arial" w:cs="Arial"/>
          <w:b w:val="0"/>
          <w:sz w:val="20"/>
        </w:rPr>
        <w:t xml:space="preserve">. All </w:t>
      </w:r>
      <w:r w:rsidRPr="008A2CD3">
        <w:rPr>
          <w:rFonts w:ascii="Arial" w:hAnsi="Arial" w:cs="Arial"/>
          <w:b w:val="0"/>
          <w:sz w:val="20"/>
        </w:rPr>
        <w:t xml:space="preserve">significant estimates/sensitive estimates along with supporting evidence must be approved by the </w:t>
      </w:r>
      <w:r w:rsidR="00675A95" w:rsidRPr="008A2CD3">
        <w:rPr>
          <w:rFonts w:ascii="Arial" w:hAnsi="Arial" w:cs="Arial"/>
          <w:b w:val="0"/>
          <w:sz w:val="20"/>
        </w:rPr>
        <w:t>CAO</w:t>
      </w:r>
      <w:r w:rsidR="007E1130" w:rsidRPr="008A2CD3">
        <w:rPr>
          <w:rFonts w:ascii="Arial" w:hAnsi="Arial" w:cs="Arial"/>
          <w:b w:val="0"/>
          <w:sz w:val="20"/>
        </w:rPr>
        <w:t xml:space="preserve"> </w:t>
      </w:r>
      <w:r w:rsidRPr="008A2CD3">
        <w:rPr>
          <w:rFonts w:ascii="Arial" w:hAnsi="Arial" w:cs="Arial"/>
          <w:b w:val="0"/>
          <w:sz w:val="20"/>
        </w:rPr>
        <w:t>and CFO, as required and reviewed with the CFO or designee.</w:t>
      </w:r>
    </w:p>
    <w:p w14:paraId="0434313B" w14:textId="1CAC35B7" w:rsidR="00DF7DFD" w:rsidRPr="00A20360" w:rsidRDefault="009C2409" w:rsidP="00C96CD5">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A20360">
        <w:rPr>
          <w:rFonts w:ascii="Arial" w:hAnsi="Arial" w:cs="Arial"/>
          <w:b w:val="0"/>
          <w:sz w:val="20"/>
        </w:rPr>
        <w:t xml:space="preserve">  </w:t>
      </w:r>
    </w:p>
    <w:p w14:paraId="063F32FF" w14:textId="0246F39D" w:rsidR="00DF7DFD" w:rsidRDefault="00F62BB8" w:rsidP="00DC178B">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sz w:val="20"/>
        </w:rPr>
      </w:pPr>
      <w:bookmarkStart w:id="31" w:name="_Cash_and_Cash"/>
      <w:bookmarkEnd w:id="31"/>
      <w:r>
        <w:rPr>
          <w:rFonts w:ascii="Century Gothic" w:hAnsi="Century Gothic" w:cs="Arial"/>
          <w:sz w:val="20"/>
        </w:rPr>
        <w:t>Cash</w:t>
      </w:r>
      <w:r w:rsidR="004F0B92">
        <w:rPr>
          <w:rFonts w:ascii="Century Gothic" w:hAnsi="Century Gothic" w:cs="Arial"/>
          <w:sz w:val="20"/>
        </w:rPr>
        <w:t xml:space="preserve">, </w:t>
      </w:r>
      <w:r>
        <w:rPr>
          <w:rFonts w:ascii="Century Gothic" w:hAnsi="Century Gothic" w:cs="Arial"/>
          <w:sz w:val="20"/>
        </w:rPr>
        <w:t>Cash Equivalents</w:t>
      </w:r>
      <w:r w:rsidR="004F0B92">
        <w:rPr>
          <w:rFonts w:ascii="Century Gothic" w:hAnsi="Century Gothic" w:cs="Arial"/>
          <w:sz w:val="20"/>
        </w:rPr>
        <w:t xml:space="preserve"> and Restricted Cash</w:t>
      </w:r>
    </w:p>
    <w:p w14:paraId="41941337" w14:textId="0AF07653" w:rsidR="00DF7DFD" w:rsidRDefault="00F62BB8" w:rsidP="00DC178B">
      <w:pPr>
        <w:spacing w:line="0" w:lineRule="atLeast"/>
        <w:ind w:left="360"/>
        <w:rPr>
          <w:rFonts w:ascii="Arial" w:hAnsi="Arial" w:cs="Arial"/>
          <w:sz w:val="20"/>
        </w:rPr>
      </w:pPr>
      <w:r>
        <w:rPr>
          <w:rFonts w:ascii="Arial" w:hAnsi="Arial" w:cs="Arial"/>
          <w:sz w:val="20"/>
        </w:rPr>
        <w:t xml:space="preserve">Cash and cash equivalents consist of highly liquid investments with an original maturity of three months or less </w:t>
      </w:r>
      <w:proofErr w:type="gramStart"/>
      <w:r>
        <w:rPr>
          <w:rFonts w:ascii="Arial" w:hAnsi="Arial" w:cs="Arial"/>
          <w:sz w:val="20"/>
        </w:rPr>
        <w:t>at date</w:t>
      </w:r>
      <w:proofErr w:type="gramEnd"/>
      <w:r>
        <w:rPr>
          <w:rFonts w:ascii="Arial" w:hAnsi="Arial" w:cs="Arial"/>
          <w:sz w:val="20"/>
        </w:rPr>
        <w:t xml:space="preserve"> of purchase.  Cash and cash equivalents should be recorded net of any outstanding checks or deposits in transit.  If the summation of the net balances of any individual banking institution is a credit balance, then this credit balance should be reclassified to the bank overdrafts liability account.</w:t>
      </w:r>
    </w:p>
    <w:p w14:paraId="45F7F3C4" w14:textId="544F8716" w:rsidR="004F0B92" w:rsidRDefault="004F0B92" w:rsidP="00DC178B">
      <w:pPr>
        <w:spacing w:line="0" w:lineRule="atLeast"/>
        <w:ind w:left="360"/>
        <w:rPr>
          <w:rFonts w:ascii="Arial" w:hAnsi="Arial" w:cs="Arial"/>
          <w:sz w:val="20"/>
        </w:rPr>
      </w:pPr>
    </w:p>
    <w:p w14:paraId="09FE2B84" w14:textId="117E9236" w:rsidR="004F0B92" w:rsidRDefault="004F0B92" w:rsidP="00DC178B">
      <w:pPr>
        <w:spacing w:line="0" w:lineRule="atLeast"/>
        <w:ind w:left="360"/>
        <w:rPr>
          <w:rFonts w:ascii="Arial" w:hAnsi="Arial" w:cs="Arial"/>
          <w:sz w:val="20"/>
        </w:rPr>
      </w:pPr>
      <w:r>
        <w:rPr>
          <w:rFonts w:ascii="Arial" w:hAnsi="Arial" w:cs="Arial"/>
          <w:sz w:val="20"/>
        </w:rPr>
        <w:t>Restricted cash (</w:t>
      </w:r>
      <w:r w:rsidRPr="004F0B92">
        <w:rPr>
          <w:rFonts w:ascii="Arial" w:hAnsi="Arial" w:cs="Arial"/>
          <w:sz w:val="20"/>
        </w:rPr>
        <w:t>legally restricted balances</w:t>
      </w:r>
      <w:r>
        <w:rPr>
          <w:rFonts w:ascii="Arial" w:hAnsi="Arial" w:cs="Arial"/>
          <w:sz w:val="20"/>
        </w:rPr>
        <w:t>) shall be recorded in a unique general ledger account so that it may be presented in a separate line on the consolidated balance sheet.  If the restricted cash is classified</w:t>
      </w:r>
      <w:r w:rsidRPr="004F0B92">
        <w:rPr>
          <w:rFonts w:ascii="Arial" w:hAnsi="Arial" w:cs="Arial"/>
          <w:sz w:val="20"/>
        </w:rPr>
        <w:t xml:space="preserve"> as noncurrent based on terms of</w:t>
      </w:r>
      <w:r>
        <w:rPr>
          <w:rFonts w:ascii="Arial" w:hAnsi="Arial" w:cs="Arial"/>
          <w:sz w:val="20"/>
        </w:rPr>
        <w:t xml:space="preserve"> </w:t>
      </w:r>
      <w:r w:rsidRPr="004F0B92">
        <w:rPr>
          <w:rFonts w:ascii="Arial" w:hAnsi="Arial" w:cs="Arial"/>
          <w:sz w:val="20"/>
        </w:rPr>
        <w:t>borrowing arrangements and/or the classification of any related borrowings</w:t>
      </w:r>
      <w:r w:rsidR="00D22E0E">
        <w:rPr>
          <w:rFonts w:ascii="Arial" w:hAnsi="Arial" w:cs="Arial"/>
          <w:sz w:val="20"/>
        </w:rPr>
        <w:t>, another unique general ledger account should be utilized indicating it is noncurrent</w:t>
      </w:r>
      <w:r w:rsidRPr="004F0B92">
        <w:rPr>
          <w:rFonts w:ascii="Arial" w:hAnsi="Arial" w:cs="Arial"/>
          <w:sz w:val="20"/>
        </w:rPr>
        <w:t>. Cash restricted for use in</w:t>
      </w:r>
      <w:r w:rsidR="00D22E0E">
        <w:rPr>
          <w:rFonts w:ascii="Arial" w:hAnsi="Arial" w:cs="Arial"/>
          <w:sz w:val="20"/>
        </w:rPr>
        <w:t xml:space="preserve"> </w:t>
      </w:r>
      <w:r w:rsidRPr="004F0B92">
        <w:rPr>
          <w:rFonts w:ascii="Arial" w:hAnsi="Arial" w:cs="Arial"/>
          <w:sz w:val="20"/>
        </w:rPr>
        <w:t xml:space="preserve">acquisition or construction of a fixed asset may </w:t>
      </w:r>
      <w:r w:rsidR="00D22E0E">
        <w:rPr>
          <w:rFonts w:ascii="Arial" w:hAnsi="Arial" w:cs="Arial"/>
          <w:sz w:val="20"/>
        </w:rPr>
        <w:t xml:space="preserve">also </w:t>
      </w:r>
      <w:r w:rsidRPr="004F0B92">
        <w:rPr>
          <w:rFonts w:ascii="Arial" w:hAnsi="Arial" w:cs="Arial"/>
          <w:sz w:val="20"/>
        </w:rPr>
        <w:t>need to be presented as a noncurrent asset.</w:t>
      </w:r>
    </w:p>
    <w:p w14:paraId="68B1EFC2" w14:textId="77777777" w:rsidR="00DF7DFD" w:rsidRDefault="00DF7DFD" w:rsidP="00B5048D">
      <w:pPr>
        <w:spacing w:line="0" w:lineRule="atLeast"/>
        <w:ind w:left="360"/>
        <w:rPr>
          <w:rFonts w:ascii="Arial" w:hAnsi="Arial" w:cs="Arial"/>
          <w:sz w:val="20"/>
        </w:rPr>
      </w:pPr>
    </w:p>
    <w:p w14:paraId="0D47C9F5" w14:textId="4FED799B" w:rsidR="00DF7DFD" w:rsidRDefault="00F62BB8" w:rsidP="0093197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sz w:val="20"/>
        </w:rPr>
      </w:pPr>
      <w:bookmarkStart w:id="32" w:name="_Accounts_Receivables_and"/>
      <w:bookmarkEnd w:id="32"/>
      <w:r>
        <w:rPr>
          <w:rFonts w:ascii="Century Gothic" w:hAnsi="Century Gothic" w:cs="Arial"/>
          <w:sz w:val="20"/>
        </w:rPr>
        <w:t>Accounts Receivable</w:t>
      </w:r>
    </w:p>
    <w:p w14:paraId="03A29500" w14:textId="74E61C2B" w:rsidR="00F24F27" w:rsidRPr="00A00C76" w:rsidRDefault="00F62BB8" w:rsidP="0093197C">
      <w:pPr>
        <w:spacing w:line="0" w:lineRule="atLeast"/>
        <w:ind w:left="360"/>
        <w:rPr>
          <w:rFonts w:ascii="Arial" w:hAnsi="Arial" w:cs="Arial"/>
          <w:i/>
          <w:sz w:val="20"/>
        </w:rPr>
      </w:pPr>
      <w:r>
        <w:rPr>
          <w:rFonts w:ascii="Arial" w:hAnsi="Arial" w:cs="Arial"/>
          <w:sz w:val="20"/>
        </w:rPr>
        <w:t xml:space="preserve">Accounts receivable are amounts </w:t>
      </w:r>
      <w:r w:rsidRPr="00A926C2">
        <w:rPr>
          <w:rFonts w:ascii="Arial" w:hAnsi="Arial" w:cs="Arial"/>
          <w:sz w:val="20"/>
        </w:rPr>
        <w:t xml:space="preserve">due from customers recorded at </w:t>
      </w:r>
      <w:r w:rsidR="00F81638">
        <w:rPr>
          <w:rFonts w:ascii="Arial" w:hAnsi="Arial" w:cs="Arial"/>
          <w:sz w:val="20"/>
        </w:rPr>
        <w:t>amortized cost adjusted for write-offs and net of allowance for credit losses</w:t>
      </w:r>
      <w:r w:rsidRPr="00A926C2">
        <w:rPr>
          <w:rFonts w:ascii="Arial" w:hAnsi="Arial" w:cs="Arial"/>
          <w:sz w:val="20"/>
        </w:rPr>
        <w:t xml:space="preserve"> for product sold in the ordinary course of business.</w:t>
      </w:r>
      <w:r w:rsidR="008C3AE1" w:rsidRPr="00A926C2">
        <w:rPr>
          <w:rFonts w:ascii="Arial" w:hAnsi="Arial" w:cs="Arial"/>
          <w:sz w:val="20"/>
        </w:rPr>
        <w:t xml:space="preserve"> The Company applies the practical expedient </w:t>
      </w:r>
      <w:r w:rsidR="009C1647" w:rsidRPr="00A926C2">
        <w:rPr>
          <w:rFonts w:ascii="Arial" w:hAnsi="Arial" w:cs="Arial"/>
          <w:sz w:val="20"/>
        </w:rPr>
        <w:t>allowed under ASC 606-10-32-18</w:t>
      </w:r>
      <w:r w:rsidR="00424576" w:rsidRPr="00A926C2">
        <w:rPr>
          <w:rFonts w:ascii="Arial" w:hAnsi="Arial" w:cs="Arial"/>
          <w:sz w:val="20"/>
        </w:rPr>
        <w:t xml:space="preserve"> and does not adjust the</w:t>
      </w:r>
      <w:r w:rsidR="00424576">
        <w:rPr>
          <w:rFonts w:ascii="Arial" w:hAnsi="Arial" w:cs="Arial"/>
          <w:sz w:val="20"/>
        </w:rPr>
        <w:t xml:space="preserve"> amount of consideration due from customers for the effects of a significant financing component </w:t>
      </w:r>
      <w:r w:rsidR="00A926C2">
        <w:rPr>
          <w:rFonts w:ascii="Arial" w:hAnsi="Arial" w:cs="Arial"/>
          <w:sz w:val="20"/>
        </w:rPr>
        <w:t xml:space="preserve">due to the Company’s expectation that the period between the time the product is provided to the customer and the time that the customer pays for the product will be one year or less. </w:t>
      </w:r>
      <w:r w:rsidR="00F24F27" w:rsidRPr="002744D2">
        <w:rPr>
          <w:rFonts w:ascii="Arial" w:hAnsi="Arial" w:cs="Arial"/>
          <w:i/>
          <w:sz w:val="20"/>
          <w:u w:val="single"/>
        </w:rPr>
        <w:t xml:space="preserve">See </w:t>
      </w:r>
      <w:r w:rsidR="00F24F27" w:rsidRPr="002744D2">
        <w:rPr>
          <w:rFonts w:ascii="Arial" w:hAnsi="Arial" w:cs="Arial"/>
          <w:b/>
          <w:i/>
          <w:sz w:val="20"/>
          <w:u w:val="single"/>
        </w:rPr>
        <w:t xml:space="preserve">Bioventus </w:t>
      </w:r>
      <w:r w:rsidR="00A112F1" w:rsidRPr="002744D2">
        <w:rPr>
          <w:rFonts w:ascii="Arial" w:hAnsi="Arial" w:cs="Arial"/>
          <w:b/>
          <w:i/>
          <w:sz w:val="20"/>
          <w:u w:val="single"/>
        </w:rPr>
        <w:t xml:space="preserve">Global </w:t>
      </w:r>
      <w:r w:rsidR="00F24F27" w:rsidRPr="002744D2">
        <w:rPr>
          <w:rFonts w:ascii="Arial" w:hAnsi="Arial" w:cs="Arial"/>
          <w:b/>
          <w:i/>
          <w:sz w:val="20"/>
          <w:u w:val="single"/>
        </w:rPr>
        <w:t xml:space="preserve">Revenue Recognition </w:t>
      </w:r>
      <w:r w:rsidR="00A112F1" w:rsidRPr="002744D2">
        <w:rPr>
          <w:rFonts w:ascii="Arial" w:hAnsi="Arial" w:cs="Arial"/>
          <w:b/>
          <w:i/>
          <w:sz w:val="20"/>
          <w:u w:val="single"/>
        </w:rPr>
        <w:t>P</w:t>
      </w:r>
      <w:r w:rsidR="00F24F27" w:rsidRPr="002744D2">
        <w:rPr>
          <w:rFonts w:ascii="Arial" w:hAnsi="Arial" w:cs="Arial"/>
          <w:b/>
          <w:i/>
          <w:sz w:val="20"/>
          <w:u w:val="single"/>
        </w:rPr>
        <w:t>olicy</w:t>
      </w:r>
      <w:r w:rsidR="00F24F27" w:rsidRPr="002744D2">
        <w:rPr>
          <w:rFonts w:ascii="Arial" w:hAnsi="Arial" w:cs="Arial"/>
          <w:i/>
          <w:sz w:val="20"/>
          <w:u w:val="single"/>
        </w:rPr>
        <w:t xml:space="preserve"> </w:t>
      </w:r>
      <w:r w:rsidR="00A112F1" w:rsidRPr="002744D2">
        <w:rPr>
          <w:rFonts w:ascii="Arial" w:hAnsi="Arial" w:cs="Arial"/>
          <w:i/>
          <w:sz w:val="20"/>
          <w:u w:val="single"/>
        </w:rPr>
        <w:t xml:space="preserve">on </w:t>
      </w:r>
      <w:proofErr w:type="spellStart"/>
      <w:r w:rsidR="00A112F1" w:rsidRPr="002744D2">
        <w:rPr>
          <w:rFonts w:ascii="Arial" w:hAnsi="Arial" w:cs="Arial"/>
          <w:i/>
          <w:sz w:val="20"/>
          <w:u w:val="single"/>
        </w:rPr>
        <w:t>Bionet</w:t>
      </w:r>
      <w:proofErr w:type="spellEnd"/>
      <w:r w:rsidR="00A112F1" w:rsidRPr="002744D2">
        <w:rPr>
          <w:rFonts w:ascii="Arial" w:hAnsi="Arial" w:cs="Arial"/>
          <w:i/>
          <w:sz w:val="20"/>
          <w:u w:val="single"/>
        </w:rPr>
        <w:t xml:space="preserve"> </w:t>
      </w:r>
      <w:r w:rsidR="00F24F27" w:rsidRPr="002744D2">
        <w:rPr>
          <w:rFonts w:ascii="Arial" w:hAnsi="Arial" w:cs="Arial"/>
          <w:i/>
          <w:sz w:val="20"/>
          <w:u w:val="single"/>
        </w:rPr>
        <w:t>for further guidance</w:t>
      </w:r>
      <w:r w:rsidR="00F24F27" w:rsidRPr="00A00C76">
        <w:rPr>
          <w:rFonts w:ascii="Arial" w:hAnsi="Arial" w:cs="Arial"/>
          <w:i/>
          <w:sz w:val="20"/>
        </w:rPr>
        <w:t>.</w:t>
      </w:r>
    </w:p>
    <w:p w14:paraId="5D297251" w14:textId="77777777" w:rsidR="00F1328A" w:rsidRDefault="00F1328A" w:rsidP="0093197C">
      <w:pPr>
        <w:spacing w:line="0" w:lineRule="atLeast"/>
        <w:ind w:left="360" w:firstLine="360"/>
        <w:rPr>
          <w:rFonts w:ascii="Arial" w:hAnsi="Arial" w:cs="Arial"/>
          <w:sz w:val="20"/>
        </w:rPr>
      </w:pPr>
    </w:p>
    <w:p w14:paraId="7E11C8F4" w14:textId="4F483502" w:rsidR="00F81638" w:rsidRDefault="00F81638" w:rsidP="0093197C">
      <w:pPr>
        <w:spacing w:line="0" w:lineRule="atLeast"/>
        <w:ind w:left="360"/>
      </w:pPr>
      <w:r>
        <w:rPr>
          <w:rFonts w:ascii="Arial" w:hAnsi="Arial" w:cs="Arial"/>
          <w:sz w:val="20"/>
        </w:rPr>
        <w:t xml:space="preserve">The Company </w:t>
      </w:r>
      <w:r w:rsidR="00C5518F">
        <w:rPr>
          <w:rFonts w:ascii="Arial" w:hAnsi="Arial" w:cs="Arial"/>
          <w:sz w:val="20"/>
        </w:rPr>
        <w:t>applies the credit loss guidance contained in ASC 326-20, Financial Instruments – Credit losses measured at Amortized Cost to estimate its</w:t>
      </w:r>
      <w:r w:rsidRPr="00F81638">
        <w:rPr>
          <w:rFonts w:ascii="Arial" w:hAnsi="Arial" w:cs="Arial"/>
          <w:sz w:val="20"/>
        </w:rPr>
        <w:t xml:space="preserve"> allowances for credit losses, which represent an estimate of expected losses over the remaining contractual life of its </w:t>
      </w:r>
      <w:r>
        <w:rPr>
          <w:rFonts w:ascii="Arial" w:hAnsi="Arial" w:cs="Arial"/>
          <w:sz w:val="20"/>
        </w:rPr>
        <w:t xml:space="preserve">accounts </w:t>
      </w:r>
      <w:r w:rsidRPr="00F81638">
        <w:rPr>
          <w:rFonts w:ascii="Arial" w:hAnsi="Arial" w:cs="Arial"/>
          <w:sz w:val="20"/>
        </w:rPr>
        <w:t>receivables considering</w:t>
      </w:r>
      <w:r>
        <w:rPr>
          <w:rFonts w:ascii="Arial" w:hAnsi="Arial" w:cs="Arial"/>
          <w:sz w:val="20"/>
        </w:rPr>
        <w:t xml:space="preserve"> </w:t>
      </w:r>
      <w:r w:rsidRPr="00F81638">
        <w:rPr>
          <w:rFonts w:ascii="Arial" w:hAnsi="Arial" w:cs="Arial"/>
          <w:sz w:val="20"/>
        </w:rPr>
        <w:t>current market conditions and estimates for supportable forecasts when appropriate.</w:t>
      </w:r>
      <w:r w:rsidRPr="00F81638">
        <w:t xml:space="preserve"> </w:t>
      </w:r>
      <w:r w:rsidRPr="00F81638">
        <w:rPr>
          <w:rFonts w:ascii="Arial" w:hAnsi="Arial" w:cs="Arial"/>
          <w:sz w:val="20"/>
        </w:rPr>
        <w:t>The estimate is a result of the company’s ongoing assessments and evaluations</w:t>
      </w:r>
      <w:r>
        <w:rPr>
          <w:rFonts w:ascii="Arial" w:hAnsi="Arial" w:cs="Arial"/>
          <w:sz w:val="20"/>
        </w:rPr>
        <w:t xml:space="preserve"> </w:t>
      </w:r>
      <w:r w:rsidRPr="00F81638">
        <w:rPr>
          <w:rFonts w:ascii="Arial" w:hAnsi="Arial" w:cs="Arial"/>
          <w:sz w:val="20"/>
        </w:rPr>
        <w:t>of collectability, historical loss experience, and future expectations in e</w:t>
      </w:r>
      <w:r>
        <w:rPr>
          <w:rFonts w:ascii="Arial" w:hAnsi="Arial" w:cs="Arial"/>
          <w:sz w:val="20"/>
        </w:rPr>
        <w:t>stimating credit losses in each of its p</w:t>
      </w:r>
      <w:r w:rsidR="00C3484D">
        <w:rPr>
          <w:rFonts w:ascii="Arial" w:hAnsi="Arial" w:cs="Arial"/>
          <w:sz w:val="20"/>
        </w:rPr>
        <w:t xml:space="preserve">ools.  </w:t>
      </w:r>
      <w:r>
        <w:rPr>
          <w:rFonts w:ascii="Arial" w:hAnsi="Arial" w:cs="Arial"/>
          <w:sz w:val="20"/>
        </w:rPr>
        <w:t xml:space="preserve">The Company </w:t>
      </w:r>
      <w:r w:rsidRPr="00F81638">
        <w:rPr>
          <w:rFonts w:ascii="Arial" w:hAnsi="Arial" w:cs="Arial"/>
          <w:sz w:val="20"/>
        </w:rPr>
        <w:t xml:space="preserve">uses historical loss experience rates by </w:t>
      </w:r>
      <w:r>
        <w:rPr>
          <w:rFonts w:ascii="Arial" w:hAnsi="Arial" w:cs="Arial"/>
          <w:sz w:val="20"/>
        </w:rPr>
        <w:t xml:space="preserve">pool </w:t>
      </w:r>
      <w:r w:rsidRPr="00F81638">
        <w:rPr>
          <w:rFonts w:ascii="Arial" w:hAnsi="Arial" w:cs="Arial"/>
          <w:sz w:val="20"/>
        </w:rPr>
        <w:t xml:space="preserve">and applies them to a related </w:t>
      </w:r>
      <w:proofErr w:type="gramStart"/>
      <w:r w:rsidRPr="00F81638">
        <w:rPr>
          <w:rFonts w:ascii="Arial" w:hAnsi="Arial" w:cs="Arial"/>
          <w:sz w:val="20"/>
        </w:rPr>
        <w:t>aging</w:t>
      </w:r>
      <w:proofErr w:type="gramEnd"/>
      <w:r w:rsidRPr="00F81638">
        <w:rPr>
          <w:rFonts w:ascii="Arial" w:hAnsi="Arial" w:cs="Arial"/>
          <w:sz w:val="20"/>
        </w:rPr>
        <w:t xml:space="preserve"> analysis while also considering</w:t>
      </w:r>
      <w:r>
        <w:rPr>
          <w:rFonts w:ascii="Arial" w:hAnsi="Arial" w:cs="Arial"/>
          <w:sz w:val="20"/>
        </w:rPr>
        <w:t xml:space="preserve"> </w:t>
      </w:r>
      <w:r w:rsidRPr="00F81638">
        <w:rPr>
          <w:rFonts w:ascii="Arial" w:hAnsi="Arial" w:cs="Arial"/>
          <w:sz w:val="20"/>
        </w:rPr>
        <w:t>customer and/or economic risk where appropriate.</w:t>
      </w:r>
      <w:r w:rsidRPr="00F81638">
        <w:t xml:space="preserve"> </w:t>
      </w:r>
    </w:p>
    <w:p w14:paraId="26B5AE37" w14:textId="77777777" w:rsidR="00F81638" w:rsidRDefault="00F81638" w:rsidP="0093197C">
      <w:pPr>
        <w:spacing w:line="0" w:lineRule="atLeast"/>
        <w:ind w:left="360"/>
      </w:pPr>
    </w:p>
    <w:p w14:paraId="54AEC975" w14:textId="3AB60EE2" w:rsidR="00F81638" w:rsidRDefault="00F81638" w:rsidP="0093197C">
      <w:pPr>
        <w:spacing w:line="0" w:lineRule="atLeast"/>
        <w:ind w:left="360"/>
        <w:rPr>
          <w:rFonts w:ascii="Arial" w:hAnsi="Arial" w:cs="Arial"/>
          <w:sz w:val="20"/>
        </w:rPr>
      </w:pPr>
      <w:r w:rsidRPr="00F81638">
        <w:rPr>
          <w:rFonts w:ascii="Arial" w:hAnsi="Arial" w:cs="Arial"/>
          <w:sz w:val="20"/>
        </w:rPr>
        <w:t>The allowances</w:t>
      </w:r>
      <w:r>
        <w:rPr>
          <w:rFonts w:ascii="Arial" w:hAnsi="Arial" w:cs="Arial"/>
          <w:sz w:val="20"/>
        </w:rPr>
        <w:t xml:space="preserve"> </w:t>
      </w:r>
      <w:r w:rsidRPr="00F81638">
        <w:rPr>
          <w:rFonts w:ascii="Arial" w:hAnsi="Arial" w:cs="Arial"/>
          <w:sz w:val="20"/>
        </w:rPr>
        <w:t xml:space="preserve">take into consideration numerous quantitative and qualitative factors that include </w:t>
      </w:r>
      <w:r>
        <w:rPr>
          <w:rFonts w:ascii="Arial" w:hAnsi="Arial" w:cs="Arial"/>
          <w:sz w:val="20"/>
        </w:rPr>
        <w:t>customer</w:t>
      </w:r>
      <w:r w:rsidRPr="00F81638">
        <w:rPr>
          <w:rFonts w:ascii="Arial" w:hAnsi="Arial" w:cs="Arial"/>
          <w:sz w:val="20"/>
        </w:rPr>
        <w:t xml:space="preserve"> type, historical loss experience, </w:t>
      </w:r>
      <w:r w:rsidR="00C572A7">
        <w:rPr>
          <w:rFonts w:ascii="Arial" w:hAnsi="Arial" w:cs="Arial"/>
          <w:sz w:val="20"/>
        </w:rPr>
        <w:t>customer concentrations, customer solvency</w:t>
      </w:r>
      <w:r w:rsidRPr="00F81638">
        <w:rPr>
          <w:rFonts w:ascii="Arial" w:hAnsi="Arial" w:cs="Arial"/>
          <w:sz w:val="20"/>
        </w:rPr>
        <w:t xml:space="preserve">, </w:t>
      </w:r>
      <w:r w:rsidR="00C572A7">
        <w:rPr>
          <w:rFonts w:ascii="Arial" w:hAnsi="Arial" w:cs="Arial"/>
          <w:sz w:val="20"/>
        </w:rPr>
        <w:t>geographic trends,</w:t>
      </w:r>
      <w:r w:rsidR="0017133E">
        <w:rPr>
          <w:rFonts w:ascii="Arial" w:hAnsi="Arial" w:cs="Arial"/>
          <w:sz w:val="20"/>
        </w:rPr>
        <w:t xml:space="preserve"> </w:t>
      </w:r>
      <w:r w:rsidR="00C572A7">
        <w:rPr>
          <w:rFonts w:ascii="Arial" w:hAnsi="Arial" w:cs="Arial"/>
          <w:sz w:val="20"/>
        </w:rPr>
        <w:t xml:space="preserve">changes in customer payment terms and practices, </w:t>
      </w:r>
      <w:r w:rsidRPr="00F81638">
        <w:rPr>
          <w:rFonts w:ascii="Arial" w:hAnsi="Arial" w:cs="Arial"/>
          <w:sz w:val="20"/>
        </w:rPr>
        <w:t>current economic conditions, estimates for supportable forecasts, when appropriate, and credit risk characteristics.</w:t>
      </w:r>
    </w:p>
    <w:p w14:paraId="791D6D09" w14:textId="1EA824C1" w:rsidR="0022131C" w:rsidRDefault="0022131C" w:rsidP="0093197C">
      <w:pPr>
        <w:spacing w:line="0" w:lineRule="atLeast"/>
        <w:ind w:left="360"/>
        <w:rPr>
          <w:rFonts w:ascii="Arial" w:hAnsi="Arial" w:cs="Arial"/>
          <w:sz w:val="20"/>
        </w:rPr>
      </w:pPr>
    </w:p>
    <w:p w14:paraId="47A73F96" w14:textId="4EC8372E" w:rsidR="0094050B" w:rsidRDefault="00F62BB8" w:rsidP="0093197C">
      <w:pPr>
        <w:spacing w:line="0" w:lineRule="atLeast"/>
        <w:ind w:left="360"/>
        <w:rPr>
          <w:rFonts w:ascii="Arial" w:hAnsi="Arial" w:cs="Arial"/>
          <w:sz w:val="20"/>
        </w:rPr>
      </w:pPr>
      <w:r>
        <w:rPr>
          <w:rFonts w:ascii="Arial" w:hAnsi="Arial" w:cs="Arial"/>
          <w:sz w:val="20"/>
        </w:rPr>
        <w:t xml:space="preserve">Changes to the allowance for </w:t>
      </w:r>
      <w:r w:rsidR="00C5518F">
        <w:rPr>
          <w:rFonts w:ascii="Arial" w:hAnsi="Arial" w:cs="Arial"/>
          <w:sz w:val="20"/>
        </w:rPr>
        <w:t>credit losses</w:t>
      </w:r>
      <w:r>
        <w:rPr>
          <w:rFonts w:ascii="Arial" w:hAnsi="Arial" w:cs="Arial"/>
          <w:sz w:val="20"/>
        </w:rPr>
        <w:t xml:space="preserve"> should be recorded as bad debt expense</w:t>
      </w:r>
      <w:r w:rsidR="00A00C76">
        <w:rPr>
          <w:rFonts w:ascii="Arial" w:hAnsi="Arial" w:cs="Arial"/>
          <w:sz w:val="20"/>
        </w:rPr>
        <w:t xml:space="preserve">, excluding estimated losses from Exogen patient owed balances that are </w:t>
      </w:r>
      <w:r w:rsidR="008B23B9">
        <w:rPr>
          <w:rFonts w:ascii="Arial" w:hAnsi="Arial" w:cs="Arial"/>
          <w:sz w:val="20"/>
        </w:rPr>
        <w:t>deemed</w:t>
      </w:r>
      <w:r w:rsidR="00A00C76">
        <w:rPr>
          <w:rFonts w:ascii="Arial" w:hAnsi="Arial" w:cs="Arial"/>
          <w:sz w:val="20"/>
        </w:rPr>
        <w:t xml:space="preserve"> implicit price concessions </w:t>
      </w:r>
      <w:r w:rsidR="00A35249">
        <w:rPr>
          <w:rFonts w:ascii="Arial" w:hAnsi="Arial" w:cs="Arial"/>
          <w:sz w:val="20"/>
        </w:rPr>
        <w:t xml:space="preserve">as </w:t>
      </w:r>
      <w:r w:rsidR="00A00C76">
        <w:rPr>
          <w:rFonts w:ascii="Arial" w:hAnsi="Arial" w:cs="Arial"/>
          <w:sz w:val="20"/>
        </w:rPr>
        <w:t>discussed below</w:t>
      </w:r>
      <w:r>
        <w:rPr>
          <w:rFonts w:ascii="Arial" w:hAnsi="Arial" w:cs="Arial"/>
          <w:sz w:val="20"/>
        </w:rPr>
        <w:t>.</w:t>
      </w:r>
      <w:r w:rsidR="0094050B">
        <w:rPr>
          <w:rFonts w:ascii="Arial" w:hAnsi="Arial" w:cs="Arial"/>
          <w:sz w:val="20"/>
        </w:rPr>
        <w:t xml:space="preserve"> </w:t>
      </w:r>
      <w:r w:rsidR="00C5518F" w:rsidRPr="0093197C">
        <w:rPr>
          <w:rFonts w:ascii="Arial" w:hAnsi="Arial" w:cs="Arial"/>
          <w:i/>
          <w:sz w:val="20"/>
        </w:rPr>
        <w:t xml:space="preserve">See Bioventus Global Allowance for Expected Credit Loss Policy on </w:t>
      </w:r>
      <w:proofErr w:type="spellStart"/>
      <w:r w:rsidR="00C5518F" w:rsidRPr="0093197C">
        <w:rPr>
          <w:rFonts w:ascii="Arial" w:hAnsi="Arial" w:cs="Arial"/>
          <w:i/>
          <w:sz w:val="20"/>
        </w:rPr>
        <w:t>Bionet</w:t>
      </w:r>
      <w:proofErr w:type="spellEnd"/>
      <w:r w:rsidR="00C5518F" w:rsidRPr="0093197C">
        <w:rPr>
          <w:rFonts w:ascii="Arial" w:hAnsi="Arial" w:cs="Arial"/>
          <w:i/>
          <w:sz w:val="20"/>
        </w:rPr>
        <w:t xml:space="preserve"> for further guidance on estimating the allowance for credit losses</w:t>
      </w:r>
      <w:r w:rsidR="00C5518F">
        <w:rPr>
          <w:rFonts w:ascii="Arial" w:hAnsi="Arial" w:cs="Arial"/>
          <w:sz w:val="20"/>
        </w:rPr>
        <w:t xml:space="preserve">. </w:t>
      </w:r>
    </w:p>
    <w:p w14:paraId="5E14AA84" w14:textId="77777777" w:rsidR="0094050B" w:rsidRDefault="0094050B" w:rsidP="00C96CD5">
      <w:pPr>
        <w:spacing w:line="0" w:lineRule="atLeast"/>
        <w:ind w:left="360"/>
        <w:rPr>
          <w:rFonts w:ascii="Arial" w:hAnsi="Arial" w:cs="Arial"/>
          <w:sz w:val="20"/>
        </w:rPr>
      </w:pPr>
    </w:p>
    <w:p w14:paraId="57D3357F" w14:textId="264AC8FA" w:rsidR="005035E1" w:rsidRDefault="003F7E72" w:rsidP="00DC178B">
      <w:pPr>
        <w:spacing w:line="0" w:lineRule="atLeast"/>
        <w:ind w:left="360"/>
        <w:rPr>
          <w:rFonts w:ascii="Arial" w:hAnsi="Arial" w:cs="Arial"/>
          <w:sz w:val="20"/>
        </w:rPr>
      </w:pPr>
      <w:r>
        <w:rPr>
          <w:rFonts w:ascii="Arial" w:eastAsiaTheme="minorHAnsi" w:hAnsi="Arial" w:cs="Arial"/>
          <w:sz w:val="20"/>
          <w:u w:val="single"/>
        </w:rPr>
        <w:t xml:space="preserve">US Exogen </w:t>
      </w:r>
      <w:r w:rsidRPr="002B5EFF">
        <w:rPr>
          <w:rFonts w:ascii="Arial" w:eastAsiaTheme="minorHAnsi" w:hAnsi="Arial" w:cs="Arial"/>
          <w:sz w:val="20"/>
          <w:u w:val="single"/>
        </w:rPr>
        <w:t>Patient owed amounts</w:t>
      </w:r>
      <w:r>
        <w:rPr>
          <w:rFonts w:ascii="Arial" w:eastAsiaTheme="minorHAnsi" w:hAnsi="Arial" w:cs="Arial"/>
          <w:sz w:val="20"/>
        </w:rPr>
        <w:t>:</w:t>
      </w:r>
      <w:r w:rsidRPr="00056CCB">
        <w:rPr>
          <w:rFonts w:ascii="Arial" w:eastAsiaTheme="minorHAnsi" w:hAnsi="Arial" w:cs="Arial"/>
          <w:sz w:val="20"/>
        </w:rPr>
        <w:t xml:space="preserve"> The Company does not perform a credit assessment on patient-owed amounts and </w:t>
      </w:r>
      <w:r w:rsidR="005035E1">
        <w:rPr>
          <w:rFonts w:ascii="Arial" w:eastAsiaTheme="minorHAnsi" w:hAnsi="Arial" w:cs="Arial"/>
          <w:sz w:val="20"/>
        </w:rPr>
        <w:t>its</w:t>
      </w:r>
      <w:r w:rsidRPr="00056CCB">
        <w:rPr>
          <w:rFonts w:ascii="Arial" w:eastAsiaTheme="minorHAnsi" w:hAnsi="Arial" w:cs="Arial"/>
          <w:sz w:val="20"/>
        </w:rPr>
        <w:t xml:space="preserve"> historical </w:t>
      </w:r>
      <w:r w:rsidR="005035E1">
        <w:rPr>
          <w:rFonts w:ascii="Arial" w:eastAsiaTheme="minorHAnsi" w:hAnsi="Arial" w:cs="Arial"/>
          <w:sz w:val="20"/>
        </w:rPr>
        <w:t xml:space="preserve">collection </w:t>
      </w:r>
      <w:r w:rsidRPr="00056CCB">
        <w:rPr>
          <w:rFonts w:ascii="Arial" w:eastAsiaTheme="minorHAnsi" w:hAnsi="Arial" w:cs="Arial"/>
          <w:sz w:val="20"/>
        </w:rPr>
        <w:t xml:space="preserve">experience </w:t>
      </w:r>
      <w:r w:rsidR="005035E1">
        <w:rPr>
          <w:rFonts w:ascii="Arial" w:eastAsiaTheme="minorHAnsi" w:hAnsi="Arial" w:cs="Arial"/>
          <w:sz w:val="20"/>
        </w:rPr>
        <w:t xml:space="preserve">with this customer class </w:t>
      </w:r>
      <w:r w:rsidRPr="00056CCB">
        <w:rPr>
          <w:rFonts w:ascii="Arial" w:eastAsiaTheme="minorHAnsi" w:hAnsi="Arial" w:cs="Arial"/>
          <w:sz w:val="20"/>
        </w:rPr>
        <w:t xml:space="preserve">indicates that it is not probable that </w:t>
      </w:r>
      <w:r w:rsidR="005035E1">
        <w:rPr>
          <w:rFonts w:ascii="Arial" w:eastAsiaTheme="minorHAnsi" w:hAnsi="Arial" w:cs="Arial"/>
          <w:sz w:val="20"/>
        </w:rPr>
        <w:t xml:space="preserve">the Company </w:t>
      </w:r>
      <w:r w:rsidRPr="00056CCB">
        <w:rPr>
          <w:rFonts w:ascii="Arial" w:eastAsiaTheme="minorHAnsi" w:hAnsi="Arial" w:cs="Arial"/>
          <w:sz w:val="20"/>
        </w:rPr>
        <w:t xml:space="preserve">will collect substantially </w:t>
      </w:r>
      <w:proofErr w:type="gramStart"/>
      <w:r w:rsidRPr="00056CCB">
        <w:rPr>
          <w:rFonts w:ascii="Arial" w:eastAsiaTheme="minorHAnsi" w:hAnsi="Arial" w:cs="Arial"/>
          <w:sz w:val="20"/>
        </w:rPr>
        <w:t>all of</w:t>
      </w:r>
      <w:proofErr w:type="gramEnd"/>
      <w:r w:rsidRPr="00056CCB">
        <w:rPr>
          <w:rFonts w:ascii="Arial" w:eastAsiaTheme="minorHAnsi" w:hAnsi="Arial" w:cs="Arial"/>
          <w:sz w:val="20"/>
        </w:rPr>
        <w:t xml:space="preserve"> the billed amount. </w:t>
      </w:r>
      <w:r>
        <w:rPr>
          <w:rFonts w:ascii="Arial" w:eastAsiaTheme="minorHAnsi" w:hAnsi="Arial" w:cs="Arial"/>
          <w:sz w:val="20"/>
        </w:rPr>
        <w:t xml:space="preserve"> </w:t>
      </w:r>
      <w:r w:rsidRPr="00056CCB">
        <w:rPr>
          <w:rFonts w:ascii="Arial" w:eastAsiaTheme="minorHAnsi" w:hAnsi="Arial" w:cs="Arial"/>
          <w:sz w:val="20"/>
        </w:rPr>
        <w:t>Since the Company has a customary business practice of not performing a credit assessment on patient-owed amounts and its historical experience indicates that it is not probable that it will collect substan</w:t>
      </w:r>
      <w:r>
        <w:rPr>
          <w:rFonts w:ascii="Arial" w:eastAsiaTheme="minorHAnsi" w:hAnsi="Arial" w:cs="Arial"/>
          <w:sz w:val="20"/>
        </w:rPr>
        <w:t>tially all of the billed amount</w:t>
      </w:r>
      <w:r w:rsidRPr="00056CCB">
        <w:rPr>
          <w:rFonts w:ascii="Arial" w:eastAsiaTheme="minorHAnsi" w:hAnsi="Arial" w:cs="Arial"/>
          <w:sz w:val="20"/>
        </w:rPr>
        <w:t xml:space="preserve">, </w:t>
      </w:r>
      <w:r>
        <w:rPr>
          <w:rFonts w:ascii="Arial" w:eastAsiaTheme="minorHAnsi" w:hAnsi="Arial" w:cs="Arial"/>
          <w:sz w:val="20"/>
        </w:rPr>
        <w:t>the Company</w:t>
      </w:r>
      <w:r w:rsidRPr="00056CCB">
        <w:rPr>
          <w:rFonts w:ascii="Arial" w:eastAsiaTheme="minorHAnsi" w:hAnsi="Arial" w:cs="Arial"/>
          <w:sz w:val="20"/>
        </w:rPr>
        <w:t xml:space="preserve"> determined that the patient amounts not probable of collection constitute implicit price concessions (variable consideration) vs. impairment losses (bad debt expense). The amount of the implicit price concession should be estimated at the time the sales transaction with the patient is recorded (Dr: Revenue; Cr: Contra A/R Reserve). Subsequent changes to the estimated amount should be adjusted through income </w:t>
      </w:r>
      <w:r w:rsidR="009C1647">
        <w:rPr>
          <w:rFonts w:ascii="Arial" w:eastAsiaTheme="minorHAnsi" w:hAnsi="Arial" w:cs="Arial"/>
          <w:sz w:val="20"/>
        </w:rPr>
        <w:t>as a r</w:t>
      </w:r>
      <w:r w:rsidRPr="00056CCB">
        <w:rPr>
          <w:rFonts w:ascii="Arial" w:eastAsiaTheme="minorHAnsi" w:hAnsi="Arial" w:cs="Arial"/>
          <w:sz w:val="20"/>
        </w:rPr>
        <w:t xml:space="preserve">evenue adjustment, except patient specific information that suggests the patient no longer has ability to pay </w:t>
      </w:r>
      <w:r w:rsidR="009C1647">
        <w:rPr>
          <w:rFonts w:ascii="Arial" w:eastAsiaTheme="minorHAnsi" w:hAnsi="Arial" w:cs="Arial"/>
          <w:sz w:val="20"/>
        </w:rPr>
        <w:t xml:space="preserve">(e.g., has filed for bankruptcy), and therefore, the adjustment should be recorded to </w:t>
      </w:r>
      <w:r w:rsidRPr="00056CCB">
        <w:rPr>
          <w:rFonts w:ascii="Arial" w:eastAsiaTheme="minorHAnsi" w:hAnsi="Arial" w:cs="Arial"/>
          <w:sz w:val="20"/>
        </w:rPr>
        <w:t>bad debt</w:t>
      </w:r>
      <w:r w:rsidR="005035E1">
        <w:rPr>
          <w:rFonts w:ascii="Arial" w:eastAsiaTheme="minorHAnsi" w:hAnsi="Arial" w:cs="Arial"/>
          <w:sz w:val="20"/>
        </w:rPr>
        <w:t xml:space="preserve"> expense</w:t>
      </w:r>
      <w:r w:rsidR="0094050B" w:rsidRPr="0094050B">
        <w:rPr>
          <w:rFonts w:ascii="Arial" w:hAnsi="Arial" w:cs="Arial"/>
          <w:sz w:val="20"/>
        </w:rPr>
        <w:t>.</w:t>
      </w:r>
      <w:r w:rsidR="00A00C76">
        <w:rPr>
          <w:rFonts w:ascii="Arial" w:hAnsi="Arial" w:cs="Arial"/>
          <w:sz w:val="20"/>
        </w:rPr>
        <w:t xml:space="preserve"> </w:t>
      </w:r>
      <w:r w:rsidR="00EA2905" w:rsidRPr="0022131C">
        <w:rPr>
          <w:rFonts w:ascii="Arial" w:eastAsiaTheme="minorHAnsi" w:hAnsi="Arial" w:cs="Arial"/>
          <w:sz w:val="20"/>
        </w:rPr>
        <w:t>Although a credit loss is possible</w:t>
      </w:r>
      <w:r w:rsidR="00EA2905">
        <w:rPr>
          <w:rFonts w:ascii="Arial" w:eastAsiaTheme="minorHAnsi" w:hAnsi="Arial" w:cs="Arial"/>
          <w:sz w:val="20"/>
        </w:rPr>
        <w:t xml:space="preserve"> on the </w:t>
      </w:r>
      <w:proofErr w:type="gramStart"/>
      <w:r w:rsidR="00EA2905">
        <w:rPr>
          <w:rFonts w:ascii="Arial" w:eastAsiaTheme="minorHAnsi" w:hAnsi="Arial" w:cs="Arial"/>
          <w:sz w:val="20"/>
        </w:rPr>
        <w:t>patient</w:t>
      </w:r>
      <w:proofErr w:type="gramEnd"/>
      <w:r w:rsidR="00EA2905">
        <w:rPr>
          <w:rFonts w:ascii="Arial" w:eastAsiaTheme="minorHAnsi" w:hAnsi="Arial" w:cs="Arial"/>
          <w:sz w:val="20"/>
        </w:rPr>
        <w:t xml:space="preserve"> owed amounts (after adjustment for implicit price concessions)</w:t>
      </w:r>
      <w:r w:rsidR="00EA2905" w:rsidRPr="0022131C">
        <w:rPr>
          <w:rFonts w:ascii="Arial" w:eastAsiaTheme="minorHAnsi" w:hAnsi="Arial" w:cs="Arial"/>
          <w:sz w:val="20"/>
        </w:rPr>
        <w:t xml:space="preserve">, any loss would be a trivial amount so no allowance </w:t>
      </w:r>
      <w:r w:rsidR="00EA2905">
        <w:rPr>
          <w:rFonts w:ascii="Arial" w:eastAsiaTheme="minorHAnsi" w:hAnsi="Arial" w:cs="Arial"/>
          <w:sz w:val="20"/>
        </w:rPr>
        <w:t xml:space="preserve">for credit losses </w:t>
      </w:r>
      <w:r w:rsidR="00EA2905" w:rsidRPr="0022131C">
        <w:rPr>
          <w:rFonts w:ascii="Arial" w:eastAsiaTheme="minorHAnsi" w:hAnsi="Arial" w:cs="Arial"/>
          <w:sz w:val="20"/>
        </w:rPr>
        <w:t>is recorded</w:t>
      </w:r>
      <w:r w:rsidR="00EA2905">
        <w:rPr>
          <w:rFonts w:ascii="Arial" w:eastAsiaTheme="minorHAnsi" w:hAnsi="Arial" w:cs="Arial"/>
          <w:sz w:val="20"/>
        </w:rPr>
        <w:t>.</w:t>
      </w:r>
    </w:p>
    <w:p w14:paraId="6D20A036" w14:textId="77777777" w:rsidR="005035E1" w:rsidRDefault="005035E1" w:rsidP="00DC178B">
      <w:pPr>
        <w:spacing w:line="0" w:lineRule="atLeast"/>
        <w:ind w:left="360"/>
        <w:rPr>
          <w:rFonts w:ascii="Arial" w:hAnsi="Arial" w:cs="Arial"/>
          <w:sz w:val="20"/>
        </w:rPr>
      </w:pPr>
    </w:p>
    <w:p w14:paraId="556619BC" w14:textId="5E89B390" w:rsidR="00AA6825" w:rsidRPr="00A00C76" w:rsidRDefault="00A00C76" w:rsidP="00DC178B">
      <w:pPr>
        <w:spacing w:line="0" w:lineRule="atLeast"/>
        <w:ind w:left="360"/>
        <w:rPr>
          <w:rFonts w:ascii="Arial" w:hAnsi="Arial" w:cs="Arial"/>
          <w:i/>
          <w:sz w:val="20"/>
        </w:rPr>
      </w:pPr>
      <w:r>
        <w:rPr>
          <w:rFonts w:ascii="Arial" w:hAnsi="Arial" w:cs="Arial"/>
          <w:sz w:val="20"/>
        </w:rPr>
        <w:t>Contractual</w:t>
      </w:r>
      <w:r w:rsidR="00AA6825">
        <w:rPr>
          <w:rFonts w:ascii="Arial" w:hAnsi="Arial" w:cs="Arial"/>
          <w:sz w:val="20"/>
        </w:rPr>
        <w:t xml:space="preserve"> allowances for </w:t>
      </w:r>
      <w:r w:rsidR="0013666A" w:rsidRPr="0013666A">
        <w:rPr>
          <w:rFonts w:ascii="Arial" w:hAnsi="Arial" w:cs="Arial"/>
          <w:sz w:val="20"/>
        </w:rPr>
        <w:t xml:space="preserve">Exogen third-party payer adjustments to settle </w:t>
      </w:r>
      <w:r w:rsidR="0013666A">
        <w:rPr>
          <w:rFonts w:ascii="Arial" w:hAnsi="Arial" w:cs="Arial"/>
          <w:sz w:val="20"/>
        </w:rPr>
        <w:t xml:space="preserve">patient reimbursement </w:t>
      </w:r>
      <w:r w:rsidR="0013666A" w:rsidRPr="0013666A">
        <w:rPr>
          <w:rFonts w:ascii="Arial" w:hAnsi="Arial" w:cs="Arial"/>
          <w:sz w:val="20"/>
        </w:rPr>
        <w:t xml:space="preserve">claims </w:t>
      </w:r>
      <w:r w:rsidR="0013666A">
        <w:rPr>
          <w:rFonts w:ascii="Arial" w:hAnsi="Arial" w:cs="Arial"/>
          <w:sz w:val="20"/>
        </w:rPr>
        <w:t xml:space="preserve">are considered variable consideration and should be </w:t>
      </w:r>
      <w:r w:rsidR="009C1647">
        <w:rPr>
          <w:rFonts w:ascii="Arial" w:hAnsi="Arial" w:cs="Arial"/>
          <w:sz w:val="20"/>
        </w:rPr>
        <w:t>estimated i</w:t>
      </w:r>
      <w:r w:rsidR="0013666A">
        <w:rPr>
          <w:rFonts w:ascii="Arial" w:hAnsi="Arial" w:cs="Arial"/>
          <w:sz w:val="20"/>
        </w:rPr>
        <w:t xml:space="preserve">n determining the </w:t>
      </w:r>
      <w:r w:rsidR="009C1647">
        <w:rPr>
          <w:rFonts w:ascii="Arial" w:hAnsi="Arial" w:cs="Arial"/>
          <w:sz w:val="20"/>
        </w:rPr>
        <w:t>t</w:t>
      </w:r>
      <w:r w:rsidR="0013666A">
        <w:rPr>
          <w:rFonts w:ascii="Arial" w:hAnsi="Arial" w:cs="Arial"/>
          <w:sz w:val="20"/>
        </w:rPr>
        <w:t xml:space="preserve">ransaction price for the Exogen product provided to the patient. </w:t>
      </w:r>
      <w:r>
        <w:rPr>
          <w:rFonts w:ascii="Arial" w:hAnsi="Arial" w:cs="Arial"/>
          <w:sz w:val="20"/>
        </w:rPr>
        <w:t>Any changes to the allowance account should be recorded as an adjustment to revenue</w:t>
      </w:r>
      <w:r w:rsidR="003E4348">
        <w:rPr>
          <w:rFonts w:ascii="Arial" w:hAnsi="Arial" w:cs="Arial"/>
          <w:sz w:val="20"/>
        </w:rPr>
        <w:t xml:space="preserve"> in the period of change</w:t>
      </w:r>
      <w:r>
        <w:rPr>
          <w:rFonts w:ascii="Arial" w:hAnsi="Arial" w:cs="Arial"/>
          <w:sz w:val="20"/>
        </w:rPr>
        <w:t xml:space="preserve">. </w:t>
      </w:r>
      <w:r w:rsidR="00AA6825" w:rsidRPr="002744D2">
        <w:rPr>
          <w:rFonts w:ascii="Arial" w:hAnsi="Arial" w:cs="Arial"/>
          <w:i/>
          <w:sz w:val="20"/>
          <w:u w:val="single"/>
        </w:rPr>
        <w:t xml:space="preserve">See </w:t>
      </w:r>
      <w:r w:rsidR="00AA6825" w:rsidRPr="002744D2">
        <w:rPr>
          <w:rFonts w:ascii="Arial" w:hAnsi="Arial" w:cs="Arial"/>
          <w:b/>
          <w:i/>
          <w:sz w:val="20"/>
          <w:u w:val="single"/>
        </w:rPr>
        <w:t xml:space="preserve">Bioventus </w:t>
      </w:r>
      <w:r w:rsidR="00A112F1" w:rsidRPr="002744D2">
        <w:rPr>
          <w:rFonts w:ascii="Arial" w:hAnsi="Arial" w:cs="Arial"/>
          <w:b/>
          <w:i/>
          <w:sz w:val="20"/>
          <w:u w:val="single"/>
        </w:rPr>
        <w:t xml:space="preserve">Global </w:t>
      </w:r>
      <w:r w:rsidR="00AA6825" w:rsidRPr="002744D2">
        <w:rPr>
          <w:rFonts w:ascii="Arial" w:hAnsi="Arial" w:cs="Arial"/>
          <w:b/>
          <w:i/>
          <w:sz w:val="20"/>
          <w:u w:val="single"/>
        </w:rPr>
        <w:t xml:space="preserve">Revenue Recognition </w:t>
      </w:r>
      <w:r w:rsidR="007D7CDA" w:rsidRPr="002744D2">
        <w:rPr>
          <w:rFonts w:ascii="Arial" w:hAnsi="Arial" w:cs="Arial"/>
          <w:b/>
          <w:i/>
          <w:sz w:val="20"/>
          <w:u w:val="single"/>
        </w:rPr>
        <w:t>P</w:t>
      </w:r>
      <w:r w:rsidR="00AA6825" w:rsidRPr="002744D2">
        <w:rPr>
          <w:rFonts w:ascii="Arial" w:hAnsi="Arial" w:cs="Arial"/>
          <w:b/>
          <w:i/>
          <w:sz w:val="20"/>
          <w:u w:val="single"/>
        </w:rPr>
        <w:t>olicy</w:t>
      </w:r>
      <w:r w:rsidR="00AA6825" w:rsidRPr="002744D2">
        <w:rPr>
          <w:rFonts w:ascii="Arial" w:hAnsi="Arial" w:cs="Arial"/>
          <w:i/>
          <w:sz w:val="20"/>
          <w:u w:val="single"/>
        </w:rPr>
        <w:t xml:space="preserve"> </w:t>
      </w:r>
      <w:r w:rsidR="00A112F1" w:rsidRPr="002744D2">
        <w:rPr>
          <w:rFonts w:ascii="Arial" w:hAnsi="Arial" w:cs="Arial"/>
          <w:i/>
          <w:sz w:val="20"/>
          <w:u w:val="single"/>
        </w:rPr>
        <w:t xml:space="preserve">on </w:t>
      </w:r>
      <w:proofErr w:type="spellStart"/>
      <w:r w:rsidR="00A112F1" w:rsidRPr="002744D2">
        <w:rPr>
          <w:rFonts w:ascii="Arial" w:hAnsi="Arial" w:cs="Arial"/>
          <w:i/>
          <w:sz w:val="20"/>
          <w:u w:val="single"/>
        </w:rPr>
        <w:t>Bionet</w:t>
      </w:r>
      <w:proofErr w:type="spellEnd"/>
      <w:r w:rsidR="00A112F1" w:rsidRPr="002744D2">
        <w:rPr>
          <w:rFonts w:ascii="Arial" w:hAnsi="Arial" w:cs="Arial"/>
          <w:i/>
          <w:sz w:val="20"/>
          <w:u w:val="single"/>
        </w:rPr>
        <w:t xml:space="preserve"> </w:t>
      </w:r>
      <w:r w:rsidR="00AA6825" w:rsidRPr="002744D2">
        <w:rPr>
          <w:rFonts w:ascii="Arial" w:hAnsi="Arial" w:cs="Arial"/>
          <w:i/>
          <w:sz w:val="20"/>
          <w:u w:val="single"/>
        </w:rPr>
        <w:t>for further guidance</w:t>
      </w:r>
      <w:r w:rsidR="00AA6825" w:rsidRPr="00A00C76">
        <w:rPr>
          <w:rFonts w:ascii="Arial" w:hAnsi="Arial" w:cs="Arial"/>
          <w:i/>
          <w:sz w:val="20"/>
        </w:rPr>
        <w:t>.</w:t>
      </w:r>
    </w:p>
    <w:p w14:paraId="556EDC90" w14:textId="77777777" w:rsidR="00AA6825" w:rsidRDefault="00AA6825" w:rsidP="00DC178B">
      <w:pPr>
        <w:spacing w:line="0" w:lineRule="atLeast"/>
        <w:ind w:left="360"/>
        <w:rPr>
          <w:rFonts w:ascii="Arial" w:hAnsi="Arial" w:cs="Arial"/>
          <w:sz w:val="20"/>
        </w:rPr>
      </w:pPr>
    </w:p>
    <w:p w14:paraId="79E0FCF5" w14:textId="5D5C7647" w:rsidR="00DF7DFD" w:rsidRDefault="007D7CDA" w:rsidP="00B5048D">
      <w:pPr>
        <w:spacing w:line="0" w:lineRule="atLeast"/>
        <w:ind w:left="360"/>
        <w:rPr>
          <w:rFonts w:ascii="Arial" w:hAnsi="Arial" w:cs="Arial"/>
          <w:sz w:val="20"/>
        </w:rPr>
      </w:pPr>
      <w:r>
        <w:rPr>
          <w:rFonts w:ascii="Arial" w:hAnsi="Arial" w:cs="Arial"/>
          <w:sz w:val="20"/>
        </w:rPr>
        <w:t>Other r</w:t>
      </w:r>
      <w:r w:rsidR="008F041F">
        <w:rPr>
          <w:rFonts w:ascii="Arial" w:hAnsi="Arial" w:cs="Arial"/>
          <w:sz w:val="20"/>
        </w:rPr>
        <w:t xml:space="preserve">eserves </w:t>
      </w:r>
      <w:r>
        <w:rPr>
          <w:rFonts w:ascii="Arial" w:hAnsi="Arial" w:cs="Arial"/>
          <w:sz w:val="20"/>
        </w:rPr>
        <w:t xml:space="preserve">established </w:t>
      </w:r>
      <w:r w:rsidR="008F041F">
        <w:rPr>
          <w:rFonts w:ascii="Arial" w:hAnsi="Arial" w:cs="Arial"/>
          <w:sz w:val="20"/>
        </w:rPr>
        <w:t>for estimated variable consideration resulting from discounts, rebates, returns, chargebacks and certain distribution and administration fees offered in our customer contracts and indirect customer contracts relat</w:t>
      </w:r>
      <w:r w:rsidR="009C1647">
        <w:rPr>
          <w:rFonts w:ascii="Arial" w:hAnsi="Arial" w:cs="Arial"/>
          <w:sz w:val="20"/>
        </w:rPr>
        <w:t xml:space="preserve">ing to the sale of our products </w:t>
      </w:r>
      <w:r w:rsidR="008F041F">
        <w:rPr>
          <w:rFonts w:ascii="Arial" w:hAnsi="Arial" w:cs="Arial"/>
          <w:sz w:val="20"/>
        </w:rPr>
        <w:t xml:space="preserve">should be </w:t>
      </w:r>
      <w:r w:rsidR="009C1647">
        <w:rPr>
          <w:rFonts w:ascii="Arial" w:hAnsi="Arial" w:cs="Arial"/>
          <w:sz w:val="20"/>
        </w:rPr>
        <w:t xml:space="preserve">estimated </w:t>
      </w:r>
      <w:r>
        <w:rPr>
          <w:rFonts w:ascii="Arial" w:hAnsi="Arial" w:cs="Arial"/>
          <w:sz w:val="20"/>
        </w:rPr>
        <w:t xml:space="preserve">and recorded as an adjustment to revenue </w:t>
      </w:r>
      <w:r w:rsidR="009C1647">
        <w:rPr>
          <w:rFonts w:ascii="Arial" w:hAnsi="Arial" w:cs="Arial"/>
          <w:sz w:val="20"/>
        </w:rPr>
        <w:t xml:space="preserve">as discussed in the </w:t>
      </w:r>
      <w:r w:rsidR="009C1647" w:rsidRPr="002744D2">
        <w:rPr>
          <w:rFonts w:ascii="Arial" w:hAnsi="Arial" w:cs="Arial"/>
          <w:b/>
          <w:i/>
          <w:sz w:val="20"/>
          <w:u w:val="single"/>
        </w:rPr>
        <w:t xml:space="preserve">Bioventus </w:t>
      </w:r>
      <w:r w:rsidR="00A112F1" w:rsidRPr="002744D2">
        <w:rPr>
          <w:rFonts w:ascii="Arial" w:hAnsi="Arial" w:cs="Arial"/>
          <w:b/>
          <w:i/>
          <w:sz w:val="20"/>
          <w:u w:val="single"/>
        </w:rPr>
        <w:t xml:space="preserve">Global </w:t>
      </w:r>
      <w:r w:rsidR="009C1647" w:rsidRPr="002744D2">
        <w:rPr>
          <w:rFonts w:ascii="Arial" w:hAnsi="Arial" w:cs="Arial"/>
          <w:b/>
          <w:i/>
          <w:sz w:val="20"/>
          <w:u w:val="single"/>
        </w:rPr>
        <w:t>Revenue Recognition Policy</w:t>
      </w:r>
      <w:r w:rsidR="00A112F1" w:rsidRPr="002744D2">
        <w:rPr>
          <w:rFonts w:ascii="Arial" w:hAnsi="Arial" w:cs="Arial"/>
          <w:i/>
          <w:sz w:val="20"/>
          <w:u w:val="single"/>
        </w:rPr>
        <w:t xml:space="preserve"> on </w:t>
      </w:r>
      <w:proofErr w:type="spellStart"/>
      <w:r w:rsidR="00A112F1" w:rsidRPr="002744D2">
        <w:rPr>
          <w:rFonts w:ascii="Arial" w:hAnsi="Arial" w:cs="Arial"/>
          <w:i/>
          <w:sz w:val="20"/>
          <w:u w:val="single"/>
        </w:rPr>
        <w:t>Bionet</w:t>
      </w:r>
      <w:proofErr w:type="spellEnd"/>
      <w:r w:rsidR="008F041F">
        <w:rPr>
          <w:rFonts w:ascii="Arial" w:hAnsi="Arial" w:cs="Arial"/>
          <w:sz w:val="20"/>
        </w:rPr>
        <w:t xml:space="preserve">. </w:t>
      </w:r>
    </w:p>
    <w:p w14:paraId="2C8EE91A" w14:textId="74F08D34" w:rsidR="00DF7DFD" w:rsidRDefault="00F62BB8" w:rsidP="00B5048D">
      <w:pPr>
        <w:spacing w:line="0" w:lineRule="atLeast"/>
        <w:ind w:left="360"/>
        <w:rPr>
          <w:rFonts w:ascii="Arial" w:hAnsi="Arial" w:cs="Arial"/>
          <w:sz w:val="20"/>
        </w:rPr>
      </w:pPr>
      <w:r>
        <w:rPr>
          <w:rFonts w:ascii="Arial" w:hAnsi="Arial" w:cs="Arial"/>
          <w:sz w:val="20"/>
        </w:rPr>
        <w:t xml:space="preserve">  </w:t>
      </w:r>
    </w:p>
    <w:p w14:paraId="01914C50"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33" w:name="_Credit_Limits"/>
      <w:bookmarkStart w:id="34" w:name="_Toc308509452"/>
      <w:bookmarkStart w:id="35" w:name="_Toc217460910"/>
      <w:bookmarkEnd w:id="33"/>
      <w:r>
        <w:rPr>
          <w:rFonts w:ascii="Century Gothic" w:hAnsi="Century Gothic" w:cs="Arial"/>
          <w:bCs w:val="0"/>
          <w:sz w:val="20"/>
        </w:rPr>
        <w:t>Credit Limits</w:t>
      </w:r>
      <w:bookmarkEnd w:id="34"/>
    </w:p>
    <w:p w14:paraId="59892624" w14:textId="1D4961D3" w:rsidR="00DF7DFD" w:rsidRDefault="002437F4" w:rsidP="004B55C1">
      <w:pPr>
        <w:spacing w:line="0" w:lineRule="atLeast"/>
        <w:ind w:left="360"/>
        <w:jc w:val="both"/>
        <w:rPr>
          <w:rFonts w:ascii="Arial" w:hAnsi="Arial" w:cs="Arial"/>
          <w:sz w:val="20"/>
        </w:rPr>
      </w:pPr>
      <w:r>
        <w:rPr>
          <w:rFonts w:ascii="Arial" w:hAnsi="Arial" w:cs="Arial"/>
          <w:sz w:val="20"/>
        </w:rPr>
        <w:t>Refer to the Company’s “</w:t>
      </w:r>
      <w:hyperlink r:id="rId11" w:tgtFrame="_blank" w:history="1">
        <w:r w:rsidR="004B55C1" w:rsidRPr="004B55C1">
          <w:rPr>
            <w:rStyle w:val="Hyperlink"/>
            <w:rFonts w:ascii="Arial" w:hAnsi="Arial" w:cs="Arial"/>
            <w:sz w:val="20"/>
          </w:rPr>
          <w:t>Bioventus Global Policy, Credit</w:t>
        </w:r>
      </w:hyperlink>
      <w:r>
        <w:rPr>
          <w:rFonts w:ascii="Arial" w:hAnsi="Arial" w:cs="Arial"/>
          <w:sz w:val="20"/>
        </w:rPr>
        <w:t>”</w:t>
      </w:r>
      <w:r w:rsidR="004B55C1">
        <w:rPr>
          <w:rFonts w:ascii="Arial" w:hAnsi="Arial" w:cs="Arial"/>
          <w:sz w:val="20"/>
        </w:rPr>
        <w:t xml:space="preserve"> document on </w:t>
      </w:r>
      <w:proofErr w:type="spellStart"/>
      <w:r w:rsidR="004B55C1">
        <w:rPr>
          <w:rFonts w:ascii="Arial" w:hAnsi="Arial" w:cs="Arial"/>
          <w:sz w:val="20"/>
        </w:rPr>
        <w:t>Bionet</w:t>
      </w:r>
      <w:proofErr w:type="spellEnd"/>
      <w:r w:rsidR="004B55C1">
        <w:rPr>
          <w:rFonts w:ascii="Arial" w:hAnsi="Arial" w:cs="Arial"/>
          <w:sz w:val="20"/>
        </w:rPr>
        <w:t xml:space="preserve">. </w:t>
      </w:r>
    </w:p>
    <w:p w14:paraId="7D89166E" w14:textId="77777777" w:rsidR="00DF7DFD" w:rsidRDefault="00DF7DFD" w:rsidP="00B5048D">
      <w:pPr>
        <w:spacing w:line="0" w:lineRule="atLeast"/>
        <w:ind w:left="1080" w:firstLine="360"/>
        <w:jc w:val="both"/>
        <w:rPr>
          <w:rFonts w:ascii="Arial" w:hAnsi="Arial" w:cs="Arial"/>
          <w:sz w:val="20"/>
        </w:rPr>
      </w:pPr>
    </w:p>
    <w:p w14:paraId="0F2E749F"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36" w:name="_Inventories"/>
      <w:bookmarkEnd w:id="35"/>
      <w:bookmarkEnd w:id="36"/>
      <w:r>
        <w:rPr>
          <w:rFonts w:ascii="Century Gothic" w:hAnsi="Century Gothic" w:cs="Arial"/>
          <w:bCs w:val="0"/>
          <w:sz w:val="20"/>
        </w:rPr>
        <w:t>Inventories</w:t>
      </w:r>
    </w:p>
    <w:p w14:paraId="043CB894" w14:textId="77777777" w:rsidR="00DF7DFD" w:rsidRDefault="00DF7DFD" w:rsidP="00B5048D">
      <w:pPr>
        <w:spacing w:line="0" w:lineRule="atLeast"/>
        <w:ind w:left="360"/>
        <w:jc w:val="both"/>
        <w:rPr>
          <w:rFonts w:ascii="Century Gothic" w:hAnsi="Century Gothic" w:cs="Arial"/>
          <w:sz w:val="20"/>
        </w:rPr>
      </w:pPr>
    </w:p>
    <w:p w14:paraId="2881BDD0"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9.1 General</w:t>
      </w:r>
    </w:p>
    <w:p w14:paraId="145BA94F"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Inventories comprise of:  </w:t>
      </w:r>
    </w:p>
    <w:p w14:paraId="1B7AFFE3" w14:textId="77777777" w:rsidR="00DF7DFD" w:rsidRDefault="00F62BB8" w:rsidP="00B5048D">
      <w:pPr>
        <w:numPr>
          <w:ilvl w:val="0"/>
          <w:numId w:val="7"/>
        </w:numPr>
        <w:spacing w:line="0" w:lineRule="atLeast"/>
        <w:ind w:left="1080"/>
        <w:jc w:val="both"/>
        <w:rPr>
          <w:rFonts w:ascii="Arial" w:hAnsi="Arial" w:cs="Arial"/>
          <w:sz w:val="20"/>
        </w:rPr>
      </w:pPr>
      <w:r>
        <w:rPr>
          <w:rFonts w:ascii="Arial" w:hAnsi="Arial" w:cs="Arial"/>
          <w:sz w:val="20"/>
        </w:rPr>
        <w:t xml:space="preserve">Raw materials and supplies; </w:t>
      </w:r>
    </w:p>
    <w:p w14:paraId="58B7662E" w14:textId="77777777" w:rsidR="00DF7DFD" w:rsidRDefault="00F62BB8" w:rsidP="00B5048D">
      <w:pPr>
        <w:numPr>
          <w:ilvl w:val="0"/>
          <w:numId w:val="7"/>
        </w:numPr>
        <w:spacing w:line="0" w:lineRule="atLeast"/>
        <w:ind w:left="1080"/>
        <w:jc w:val="both"/>
        <w:rPr>
          <w:rFonts w:ascii="Arial" w:hAnsi="Arial" w:cs="Arial"/>
          <w:sz w:val="20"/>
        </w:rPr>
      </w:pPr>
      <w:r>
        <w:rPr>
          <w:rFonts w:ascii="Arial" w:hAnsi="Arial" w:cs="Arial"/>
          <w:sz w:val="20"/>
        </w:rPr>
        <w:t>Work in progress; and</w:t>
      </w:r>
    </w:p>
    <w:p w14:paraId="0ED7CDD4" w14:textId="77777777" w:rsidR="00DF7DFD" w:rsidRDefault="00F62BB8" w:rsidP="00B5048D">
      <w:pPr>
        <w:numPr>
          <w:ilvl w:val="0"/>
          <w:numId w:val="7"/>
        </w:numPr>
        <w:spacing w:line="0" w:lineRule="atLeast"/>
        <w:ind w:left="1080"/>
        <w:jc w:val="both"/>
        <w:rPr>
          <w:rFonts w:ascii="Arial" w:hAnsi="Arial" w:cs="Arial"/>
          <w:sz w:val="20"/>
        </w:rPr>
      </w:pPr>
      <w:r>
        <w:rPr>
          <w:rFonts w:ascii="Arial" w:hAnsi="Arial" w:cs="Arial"/>
          <w:sz w:val="20"/>
        </w:rPr>
        <w:t xml:space="preserve">Finished goods for sale, including unsold goods located with sales representatives or on other third </w:t>
      </w:r>
      <w:proofErr w:type="gramStart"/>
      <w:r>
        <w:rPr>
          <w:rFonts w:ascii="Arial" w:hAnsi="Arial" w:cs="Arial"/>
          <w:sz w:val="20"/>
        </w:rPr>
        <w:t>parties</w:t>
      </w:r>
      <w:proofErr w:type="gramEnd"/>
      <w:r>
        <w:rPr>
          <w:rFonts w:ascii="Arial" w:hAnsi="Arial" w:cs="Arial"/>
          <w:sz w:val="20"/>
        </w:rPr>
        <w:t xml:space="preserve"> premises. </w:t>
      </w:r>
    </w:p>
    <w:p w14:paraId="07FFECB3" w14:textId="77777777" w:rsidR="00DF7DFD" w:rsidRDefault="00DF7DFD" w:rsidP="00B5048D">
      <w:pPr>
        <w:spacing w:line="0" w:lineRule="atLeast"/>
        <w:ind w:left="270" w:firstLine="360"/>
        <w:jc w:val="both"/>
        <w:rPr>
          <w:rFonts w:ascii="Arial" w:hAnsi="Arial" w:cs="Arial"/>
          <w:sz w:val="20"/>
        </w:rPr>
      </w:pPr>
    </w:p>
    <w:p w14:paraId="002848BA" w14:textId="77777777" w:rsidR="00DF7DFD" w:rsidRDefault="00F62BB8" w:rsidP="00B5048D">
      <w:pPr>
        <w:spacing w:line="0" w:lineRule="atLeast"/>
        <w:ind w:left="360"/>
        <w:jc w:val="both"/>
        <w:rPr>
          <w:rFonts w:ascii="Arial" w:hAnsi="Arial" w:cs="Arial"/>
          <w:sz w:val="20"/>
        </w:rPr>
      </w:pPr>
      <w:r>
        <w:rPr>
          <w:rFonts w:ascii="Arial" w:hAnsi="Arial" w:cs="Arial"/>
          <w:sz w:val="20"/>
        </w:rPr>
        <w:t>All inventories must be physically counted and reconciled with accounting records at least once a year, although not necessarily all at once.  Cycle counting is permitted as part of a predetermined plan to cover all inventories once a year.  Fast-moving, high-value lines should be subject to more frequent cycle counts.</w:t>
      </w:r>
    </w:p>
    <w:p w14:paraId="247AB5CE" w14:textId="77777777" w:rsidR="00DF7DFD" w:rsidRDefault="00DF7DFD" w:rsidP="00B5048D">
      <w:pPr>
        <w:spacing w:line="0" w:lineRule="atLeast"/>
        <w:ind w:left="360" w:firstLine="360"/>
        <w:jc w:val="both"/>
        <w:rPr>
          <w:rFonts w:ascii="Arial" w:hAnsi="Arial" w:cs="Arial"/>
          <w:sz w:val="20"/>
        </w:rPr>
      </w:pPr>
    </w:p>
    <w:p w14:paraId="129D5617"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Inventories shall be valued at the lower of cost or net realizable value utilizing the First in, </w:t>
      </w:r>
      <w:proofErr w:type="gramStart"/>
      <w:r>
        <w:rPr>
          <w:rFonts w:ascii="Arial" w:hAnsi="Arial" w:cs="Arial"/>
          <w:sz w:val="20"/>
        </w:rPr>
        <w:t>First</w:t>
      </w:r>
      <w:proofErr w:type="gramEnd"/>
      <w:r>
        <w:rPr>
          <w:rFonts w:ascii="Arial" w:hAnsi="Arial" w:cs="Arial"/>
          <w:sz w:val="20"/>
        </w:rPr>
        <w:t xml:space="preserve"> out (FIFO) costing method.  The term net realizable value is defined as the estimated selling prices in the ordinary course of business, less reasonably predictable costs of completion, disposal and transportation. </w:t>
      </w:r>
    </w:p>
    <w:p w14:paraId="38FC5F56" w14:textId="77777777" w:rsidR="00DF7DFD" w:rsidRDefault="00DF7DFD" w:rsidP="00B5048D">
      <w:pPr>
        <w:spacing w:line="0" w:lineRule="atLeast"/>
        <w:ind w:left="360" w:firstLine="360"/>
        <w:jc w:val="both"/>
        <w:rPr>
          <w:rFonts w:ascii="Arial" w:hAnsi="Arial" w:cs="Arial"/>
          <w:sz w:val="20"/>
        </w:rPr>
      </w:pPr>
    </w:p>
    <w:p w14:paraId="44E23BCF"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Cost is based on full standard cost adjusted to actual.  Price, efficiency and usage variances should be capitalized to inventory and released or expended over the period of inventory turn.  Abnormal variances are not </w:t>
      </w:r>
      <w:proofErr w:type="gramStart"/>
      <w:r>
        <w:rPr>
          <w:rFonts w:ascii="Arial" w:hAnsi="Arial" w:cs="Arial"/>
          <w:sz w:val="20"/>
        </w:rPr>
        <w:t>eligible</w:t>
      </w:r>
      <w:proofErr w:type="gramEnd"/>
      <w:r>
        <w:rPr>
          <w:rFonts w:ascii="Arial" w:hAnsi="Arial" w:cs="Arial"/>
          <w:sz w:val="20"/>
        </w:rPr>
        <w:t xml:space="preserve"> inventory costs and should be written off immediately.</w:t>
      </w:r>
    </w:p>
    <w:p w14:paraId="361D5EAC" w14:textId="77777777" w:rsidR="00DF7DFD" w:rsidRDefault="00DF7DFD" w:rsidP="00B5048D">
      <w:pPr>
        <w:spacing w:line="0" w:lineRule="atLeast"/>
        <w:ind w:left="360" w:firstLine="360"/>
        <w:jc w:val="both"/>
        <w:rPr>
          <w:rFonts w:ascii="Arial" w:hAnsi="Arial" w:cs="Arial"/>
          <w:sz w:val="20"/>
        </w:rPr>
      </w:pPr>
    </w:p>
    <w:p w14:paraId="1FC5CA99" w14:textId="77777777" w:rsidR="00DF7DFD" w:rsidRDefault="00F62BB8" w:rsidP="00B5048D">
      <w:pPr>
        <w:spacing w:line="0" w:lineRule="atLeast"/>
        <w:ind w:left="360"/>
        <w:jc w:val="both"/>
        <w:rPr>
          <w:rFonts w:ascii="Arial" w:hAnsi="Arial" w:cs="Arial"/>
          <w:sz w:val="20"/>
        </w:rPr>
      </w:pPr>
      <w:r>
        <w:rPr>
          <w:rFonts w:ascii="Arial" w:hAnsi="Arial" w:cs="Arial"/>
          <w:sz w:val="20"/>
        </w:rPr>
        <w:t>Intracompany sales should be based on cost plus a predetermined margin appropriate for that region.  The purchasing entity records this sales price as its cost. Goods in transit must be treated as the inventory of the purchasing entity at reporting period ends.  At each reporting period end the intercompany profit is eliminated until the inventory is sold to a third party.</w:t>
      </w:r>
    </w:p>
    <w:p w14:paraId="01FA0875" w14:textId="77777777" w:rsidR="00DF7DFD" w:rsidRDefault="00DF7DFD" w:rsidP="00B5048D">
      <w:pPr>
        <w:pStyle w:val="Heading2"/>
        <w:tabs>
          <w:tab w:val="clear" w:pos="1440"/>
          <w:tab w:val="clear" w:pos="2880"/>
          <w:tab w:val="clear" w:pos="4395"/>
          <w:tab w:val="clear" w:pos="5760"/>
          <w:tab w:val="clear" w:pos="7560"/>
        </w:tabs>
        <w:spacing w:line="0" w:lineRule="atLeast"/>
        <w:ind w:left="360"/>
        <w:rPr>
          <w:rFonts w:ascii="Arial" w:hAnsi="Arial" w:cs="Arial"/>
          <w:bCs w:val="0"/>
          <w:sz w:val="20"/>
        </w:rPr>
      </w:pPr>
    </w:p>
    <w:p w14:paraId="70231ECF" w14:textId="77777777" w:rsidR="00DF7DFD" w:rsidRDefault="00F62BB8" w:rsidP="00B5048D">
      <w:pPr>
        <w:pStyle w:val="Heading2"/>
        <w:tabs>
          <w:tab w:val="clear" w:pos="1440"/>
          <w:tab w:val="clear" w:pos="2880"/>
          <w:tab w:val="clear" w:pos="4395"/>
          <w:tab w:val="clear" w:pos="5760"/>
          <w:tab w:val="clear" w:pos="7560"/>
        </w:tabs>
        <w:spacing w:line="0" w:lineRule="atLeast"/>
        <w:ind w:left="360"/>
        <w:rPr>
          <w:rFonts w:ascii="Century Gothic" w:hAnsi="Century Gothic" w:cs="Arial"/>
          <w:bCs w:val="0"/>
          <w:sz w:val="20"/>
        </w:rPr>
      </w:pPr>
      <w:bookmarkStart w:id="37" w:name="_9.2_Standard_Costing"/>
      <w:bookmarkStart w:id="38" w:name="_Toc217460908"/>
      <w:bookmarkStart w:id="39" w:name="_Toc308509450"/>
      <w:bookmarkEnd w:id="37"/>
      <w:r>
        <w:rPr>
          <w:rFonts w:ascii="Century Gothic" w:hAnsi="Century Gothic" w:cs="Arial"/>
          <w:bCs w:val="0"/>
          <w:sz w:val="20"/>
        </w:rPr>
        <w:t>9.2 Standard Costing</w:t>
      </w:r>
      <w:bookmarkEnd w:id="38"/>
      <w:bookmarkEnd w:id="39"/>
    </w:p>
    <w:p w14:paraId="0E61CEC9"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Standard costing system for </w:t>
      </w:r>
      <w:proofErr w:type="gramStart"/>
      <w:r>
        <w:rPr>
          <w:rFonts w:ascii="Arial" w:hAnsi="Arial" w:cs="Arial"/>
          <w:sz w:val="20"/>
        </w:rPr>
        <w:t>manufactured</w:t>
      </w:r>
      <w:proofErr w:type="gramEnd"/>
      <w:r>
        <w:rPr>
          <w:rFonts w:ascii="Arial" w:hAnsi="Arial" w:cs="Arial"/>
          <w:sz w:val="20"/>
        </w:rPr>
        <w:t xml:space="preserve"> and </w:t>
      </w:r>
      <w:proofErr w:type="gramStart"/>
      <w:r>
        <w:rPr>
          <w:rFonts w:ascii="Arial" w:hAnsi="Arial" w:cs="Arial"/>
          <w:sz w:val="20"/>
        </w:rPr>
        <w:t>bought in</w:t>
      </w:r>
      <w:proofErr w:type="gramEnd"/>
      <w:r>
        <w:rPr>
          <w:rFonts w:ascii="Arial" w:hAnsi="Arial" w:cs="Arial"/>
          <w:sz w:val="20"/>
        </w:rPr>
        <w:t xml:space="preserve"> goods </w:t>
      </w:r>
      <w:proofErr w:type="gramStart"/>
      <w:r>
        <w:rPr>
          <w:rFonts w:ascii="Arial" w:hAnsi="Arial" w:cs="Arial"/>
          <w:sz w:val="20"/>
        </w:rPr>
        <w:t>are</w:t>
      </w:r>
      <w:proofErr w:type="gramEnd"/>
      <w:r>
        <w:rPr>
          <w:rFonts w:ascii="Arial" w:hAnsi="Arial" w:cs="Arial"/>
          <w:sz w:val="20"/>
        </w:rPr>
        <w:t xml:space="preserve"> to be utilized. </w:t>
      </w:r>
      <w:r>
        <w:rPr>
          <w:rFonts w:ascii="Arial" w:hAnsi="Arial" w:cs="Arial"/>
          <w:sz w:val="20"/>
          <w:lang w:val="en"/>
        </w:rPr>
        <w:t xml:space="preserve">Standard costs represent the expected per unit cost of direct material, direct labor, and manufacturing overhead for each product based on forecasts. </w:t>
      </w:r>
      <w:r>
        <w:rPr>
          <w:rFonts w:ascii="Arial" w:hAnsi="Arial" w:cs="Arial"/>
          <w:sz w:val="20"/>
        </w:rPr>
        <w:t xml:space="preserve"> Standard costs should be reviewed at least once a year with new standards effective January 1 of each year.  </w:t>
      </w:r>
    </w:p>
    <w:p w14:paraId="5946A87E" w14:textId="77777777" w:rsidR="00DF7DFD" w:rsidRDefault="00DF7DFD" w:rsidP="00B5048D">
      <w:pPr>
        <w:spacing w:line="0" w:lineRule="atLeast"/>
        <w:ind w:left="360"/>
        <w:jc w:val="both"/>
        <w:rPr>
          <w:rFonts w:ascii="Arial" w:hAnsi="Arial" w:cs="Arial"/>
          <w:sz w:val="20"/>
        </w:rPr>
      </w:pPr>
    </w:p>
    <w:p w14:paraId="06BAE1D0"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New products whose production process is not yet perfected should not have their standards distorted for start-up inefficiencies.  Standards for such products should be based on estimated long-run norms (i.e., normal capacity is the production expected to be achieved on average over </w:t>
      </w:r>
      <w:proofErr w:type="gramStart"/>
      <w:r>
        <w:rPr>
          <w:rFonts w:ascii="Arial" w:hAnsi="Arial" w:cs="Arial"/>
          <w:sz w:val="20"/>
        </w:rPr>
        <w:t>a number of</w:t>
      </w:r>
      <w:proofErr w:type="gramEnd"/>
      <w:r>
        <w:rPr>
          <w:rFonts w:ascii="Arial" w:hAnsi="Arial" w:cs="Arial"/>
          <w:sz w:val="20"/>
        </w:rPr>
        <w:t xml:space="preserve"> periods or seasons under normal circumstances, </w:t>
      </w:r>
      <w:proofErr w:type="gramStart"/>
      <w:r>
        <w:rPr>
          <w:rFonts w:ascii="Arial" w:hAnsi="Arial" w:cs="Arial"/>
          <w:sz w:val="20"/>
        </w:rPr>
        <w:t>taking into account</w:t>
      </w:r>
      <w:proofErr w:type="gramEnd"/>
      <w:r>
        <w:rPr>
          <w:rFonts w:ascii="Arial" w:hAnsi="Arial" w:cs="Arial"/>
          <w:sz w:val="20"/>
        </w:rPr>
        <w:t xml:space="preserve"> the loss of capacity resulting from planned maintenance).  Start-up variances are treated as an expense of the total business.</w:t>
      </w:r>
    </w:p>
    <w:p w14:paraId="4A759B97" w14:textId="77777777" w:rsidR="00DF7DFD" w:rsidRDefault="00DF7DFD" w:rsidP="00B5048D">
      <w:pPr>
        <w:spacing w:line="0" w:lineRule="atLeast"/>
        <w:ind w:left="360"/>
        <w:jc w:val="both"/>
        <w:rPr>
          <w:rFonts w:ascii="Arial" w:hAnsi="Arial" w:cs="Arial"/>
          <w:sz w:val="20"/>
        </w:rPr>
      </w:pPr>
    </w:p>
    <w:p w14:paraId="1CDEBE15"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Manufacturing </w:t>
      </w:r>
      <w:proofErr w:type="gramStart"/>
      <w:r>
        <w:rPr>
          <w:rFonts w:ascii="Arial" w:hAnsi="Arial" w:cs="Arial"/>
          <w:sz w:val="20"/>
        </w:rPr>
        <w:t>overhead</w:t>
      </w:r>
      <w:proofErr w:type="gramEnd"/>
      <w:r>
        <w:rPr>
          <w:rFonts w:ascii="Arial" w:hAnsi="Arial" w:cs="Arial"/>
          <w:sz w:val="20"/>
        </w:rPr>
        <w:t xml:space="preserve"> includes indirect labor, supervision, maintenance, engineering and process development, costs of packaging, inspection, factory warehousing and normal handling costs.  </w:t>
      </w:r>
    </w:p>
    <w:p w14:paraId="282EF762" w14:textId="77777777" w:rsidR="00DF7DFD" w:rsidRDefault="00DF7DFD" w:rsidP="00B5048D">
      <w:pPr>
        <w:pStyle w:val="ListParagraph"/>
        <w:spacing w:line="0" w:lineRule="atLeast"/>
        <w:ind w:left="270"/>
        <w:rPr>
          <w:rFonts w:ascii="Arial" w:hAnsi="Arial" w:cs="Arial"/>
          <w:sz w:val="20"/>
        </w:rPr>
      </w:pPr>
    </w:p>
    <w:p w14:paraId="2CD53695" w14:textId="77777777" w:rsidR="00DF7DFD" w:rsidRDefault="00F62BB8" w:rsidP="00B5048D">
      <w:pPr>
        <w:spacing w:line="0" w:lineRule="atLeast"/>
        <w:ind w:left="360"/>
        <w:jc w:val="both"/>
        <w:rPr>
          <w:rFonts w:ascii="Arial" w:hAnsi="Arial" w:cs="Arial"/>
          <w:sz w:val="20"/>
        </w:rPr>
      </w:pPr>
      <w:r>
        <w:rPr>
          <w:rFonts w:ascii="Arial" w:hAnsi="Arial" w:cs="Arial"/>
          <w:sz w:val="20"/>
        </w:rPr>
        <w:t>Administrative overhead and selling costs that do not contribute to bringing inventories to their present location and condition such as general management, distribution, sales, marketing, research and development (R&amp;D) costs, central charges and management charges should not be included in manufacturing standards. Distribution warehousing costs, unless those costs are necessary in the production process before a further production stage, should also be excluded.</w:t>
      </w:r>
    </w:p>
    <w:p w14:paraId="0A9BACA7" w14:textId="77777777" w:rsidR="00DF7DFD" w:rsidRDefault="00DF7DFD" w:rsidP="00B5048D">
      <w:pPr>
        <w:spacing w:line="0" w:lineRule="atLeast"/>
        <w:ind w:left="360"/>
        <w:jc w:val="both"/>
        <w:rPr>
          <w:rFonts w:ascii="Arial" w:hAnsi="Arial" w:cs="Arial"/>
          <w:sz w:val="20"/>
        </w:rPr>
      </w:pPr>
    </w:p>
    <w:p w14:paraId="113B30D4" w14:textId="77777777" w:rsidR="00DF7DFD" w:rsidRDefault="00F62BB8" w:rsidP="00B5048D">
      <w:pPr>
        <w:spacing w:line="0" w:lineRule="atLeast"/>
        <w:ind w:left="360"/>
        <w:jc w:val="both"/>
        <w:rPr>
          <w:rFonts w:ascii="Arial" w:hAnsi="Arial" w:cs="Arial"/>
          <w:sz w:val="20"/>
        </w:rPr>
      </w:pPr>
      <w:r>
        <w:rPr>
          <w:rFonts w:ascii="Arial" w:hAnsi="Arial" w:cs="Arial"/>
          <w:sz w:val="20"/>
          <w:lang w:val="en"/>
        </w:rPr>
        <w:t xml:space="preserve">Actual costs will always differ, resulting in inventory variances (favorable or unfavorable). At each reporting date, </w:t>
      </w:r>
      <w:r>
        <w:rPr>
          <w:rFonts w:ascii="Arial" w:hAnsi="Arial" w:cs="Arial"/>
          <w:sz w:val="20"/>
        </w:rPr>
        <w:t>variances between standard and actual costs produced by the standard costing system</w:t>
      </w:r>
      <w:r>
        <w:rPr>
          <w:rFonts w:ascii="Arial" w:hAnsi="Arial" w:cs="Arial"/>
          <w:sz w:val="20"/>
          <w:lang w:val="en"/>
        </w:rPr>
        <w:t xml:space="preserve"> should be </w:t>
      </w:r>
      <w:r>
        <w:rPr>
          <w:rFonts w:ascii="Arial" w:hAnsi="Arial" w:cs="Arial"/>
          <w:sz w:val="20"/>
        </w:rPr>
        <w:t>investigated and e</w:t>
      </w:r>
      <w:r>
        <w:rPr>
          <w:rFonts w:ascii="Arial" w:hAnsi="Arial" w:cs="Arial"/>
          <w:sz w:val="20"/>
          <w:lang w:val="en"/>
        </w:rPr>
        <w:t xml:space="preserve">valuated as to whether the inventory balances stated at standard costs need to be adjusted to reflect the variances.  When costs are required to be included in inventory that are not captured by the </w:t>
      </w:r>
      <w:r>
        <w:rPr>
          <w:rFonts w:ascii="Arial" w:hAnsi="Arial" w:cs="Arial"/>
          <w:sz w:val="20"/>
        </w:rPr>
        <w:t xml:space="preserve">standard costing </w:t>
      </w:r>
      <w:r>
        <w:rPr>
          <w:rFonts w:ascii="Arial" w:hAnsi="Arial" w:cs="Arial"/>
          <w:sz w:val="20"/>
          <w:lang w:val="en"/>
        </w:rPr>
        <w:t xml:space="preserve">system, but are added during the closing process, consideration should be given to adjusted inventory costs.  </w:t>
      </w:r>
    </w:p>
    <w:p w14:paraId="26CCE44C" w14:textId="77777777" w:rsidR="00DF7DFD" w:rsidRDefault="00DF7DFD" w:rsidP="00B5048D">
      <w:pPr>
        <w:pStyle w:val="ListParagraph"/>
        <w:spacing w:line="0" w:lineRule="atLeast"/>
        <w:ind w:left="360"/>
        <w:rPr>
          <w:rFonts w:ascii="Arial" w:hAnsi="Arial" w:cs="Arial"/>
          <w:sz w:val="20"/>
        </w:rPr>
      </w:pPr>
    </w:p>
    <w:p w14:paraId="1D5F02B1" w14:textId="77777777" w:rsidR="00DF7DFD" w:rsidRDefault="00F62BB8" w:rsidP="00B5048D">
      <w:pPr>
        <w:spacing w:line="0" w:lineRule="atLeast"/>
        <w:ind w:left="360"/>
        <w:jc w:val="both"/>
        <w:rPr>
          <w:rFonts w:ascii="Arial" w:hAnsi="Arial" w:cs="Arial"/>
          <w:sz w:val="20"/>
        </w:rPr>
      </w:pPr>
      <w:r>
        <w:rPr>
          <w:rFonts w:ascii="Arial" w:hAnsi="Arial" w:cs="Arial"/>
          <w:sz w:val="20"/>
        </w:rPr>
        <w:t>As with any “normal” variance, purchase price variances arising from movements in foreign currency relative to the standard cost of the purchase should be capitalized to inventory and released or expended over the period of inventory turn, recognizing that inventory turns can vary significantly by major product.</w:t>
      </w:r>
    </w:p>
    <w:p w14:paraId="60F6F3ED" w14:textId="77777777" w:rsidR="00DF7DFD" w:rsidRDefault="00DF7DFD" w:rsidP="00B5048D">
      <w:pPr>
        <w:spacing w:line="0" w:lineRule="atLeast"/>
        <w:ind w:left="270"/>
        <w:jc w:val="both"/>
        <w:rPr>
          <w:rFonts w:ascii="Century Gothic" w:hAnsi="Century Gothic" w:cs="Arial"/>
          <w:sz w:val="20"/>
        </w:rPr>
      </w:pPr>
    </w:p>
    <w:p w14:paraId="7CF8AAB4" w14:textId="77777777" w:rsidR="00DF7DFD" w:rsidRDefault="00F62BB8" w:rsidP="00B5048D">
      <w:pPr>
        <w:pStyle w:val="Heading2"/>
        <w:tabs>
          <w:tab w:val="clear" w:pos="1440"/>
          <w:tab w:val="clear" w:pos="2880"/>
          <w:tab w:val="clear" w:pos="4395"/>
          <w:tab w:val="clear" w:pos="5760"/>
          <w:tab w:val="clear" w:pos="7560"/>
        </w:tabs>
        <w:spacing w:line="0" w:lineRule="atLeast"/>
        <w:ind w:left="360"/>
        <w:rPr>
          <w:rFonts w:ascii="Arial" w:hAnsi="Arial" w:cs="Arial"/>
          <w:bCs w:val="0"/>
          <w:sz w:val="20"/>
        </w:rPr>
      </w:pPr>
      <w:bookmarkStart w:id="40" w:name="_9.3_Capitalized_Depreciation"/>
      <w:bookmarkEnd w:id="40"/>
      <w:r>
        <w:rPr>
          <w:rFonts w:ascii="Century Gothic" w:hAnsi="Century Gothic" w:cs="Arial"/>
          <w:bCs w:val="0"/>
          <w:sz w:val="20"/>
        </w:rPr>
        <w:t>9.3 Capitalized Depreciation and Amortization</w:t>
      </w:r>
    </w:p>
    <w:p w14:paraId="6AB9B2E6" w14:textId="160405EE" w:rsidR="00DF7DFD" w:rsidRDefault="00F62BB8" w:rsidP="00B5048D">
      <w:pPr>
        <w:ind w:left="360"/>
        <w:rPr>
          <w:rFonts w:ascii="Arial" w:hAnsi="Arial" w:cs="Arial"/>
          <w:sz w:val="20"/>
        </w:rPr>
      </w:pPr>
      <w:r>
        <w:rPr>
          <w:rFonts w:ascii="Arial" w:hAnsi="Arial" w:cs="Arial"/>
          <w:sz w:val="20"/>
        </w:rPr>
        <w:t xml:space="preserve">The Company should include depreciation and amortization related to the manufacturing of the products as well as the acquisition of product specific intangible assets in COS. Depreciation should only be for assets directly used in the manufacturing of the product.  </w:t>
      </w:r>
      <w:proofErr w:type="gramStart"/>
      <w:r>
        <w:rPr>
          <w:rFonts w:ascii="Arial" w:hAnsi="Arial" w:cs="Arial"/>
          <w:sz w:val="20"/>
        </w:rPr>
        <w:t>Generally</w:t>
      </w:r>
      <w:proofErr w:type="gramEnd"/>
      <w:r>
        <w:rPr>
          <w:rFonts w:ascii="Arial" w:hAnsi="Arial" w:cs="Arial"/>
          <w:sz w:val="20"/>
        </w:rPr>
        <w:t xml:space="preserve"> amortization should only be for the product IP and distribution rights.  Depreciation and amortization costs should initially be recorded to inventory, using </w:t>
      </w:r>
      <w:r w:rsidR="00BC63DF" w:rsidRPr="008A2CD3">
        <w:rPr>
          <w:rFonts w:ascii="Arial" w:hAnsi="Arial" w:cs="Arial"/>
          <w:sz w:val="20"/>
        </w:rPr>
        <w:t xml:space="preserve">G/L </w:t>
      </w:r>
      <w:r w:rsidRPr="008A2CD3">
        <w:rPr>
          <w:rFonts w:ascii="Arial" w:hAnsi="Arial" w:cs="Arial"/>
          <w:sz w:val="20"/>
        </w:rPr>
        <w:t>account</w:t>
      </w:r>
      <w:r>
        <w:rPr>
          <w:rFonts w:ascii="Arial" w:hAnsi="Arial" w:cs="Arial"/>
          <w:sz w:val="20"/>
        </w:rPr>
        <w:t xml:space="preserve"> 136008. These costs should be subsequently amortized </w:t>
      </w:r>
      <w:proofErr w:type="gramStart"/>
      <w:r>
        <w:rPr>
          <w:rFonts w:ascii="Arial" w:hAnsi="Arial" w:cs="Arial"/>
          <w:sz w:val="20"/>
        </w:rPr>
        <w:t>on a monthly basis</w:t>
      </w:r>
      <w:proofErr w:type="gramEnd"/>
      <w:r>
        <w:rPr>
          <w:rFonts w:ascii="Arial" w:hAnsi="Arial" w:cs="Arial"/>
          <w:sz w:val="20"/>
        </w:rPr>
        <w:t xml:space="preserve"> from inventory to COS based on expected inventory turnover for that product, using COS </w:t>
      </w:r>
      <w:r w:rsidR="00D42F12" w:rsidRPr="008A2CD3">
        <w:rPr>
          <w:rFonts w:ascii="Arial" w:hAnsi="Arial" w:cs="Arial"/>
          <w:sz w:val="20"/>
        </w:rPr>
        <w:t>G/L</w:t>
      </w:r>
      <w:r w:rsidR="00D42F12">
        <w:rPr>
          <w:rFonts w:ascii="Arial" w:hAnsi="Arial" w:cs="Arial"/>
          <w:sz w:val="20"/>
        </w:rPr>
        <w:t xml:space="preserve"> </w:t>
      </w:r>
      <w:r>
        <w:rPr>
          <w:rFonts w:ascii="Arial" w:hAnsi="Arial" w:cs="Arial"/>
          <w:sz w:val="20"/>
        </w:rPr>
        <w:t>account 50000</w:t>
      </w:r>
      <w:r w:rsidR="005B2549">
        <w:rPr>
          <w:rFonts w:ascii="Arial" w:hAnsi="Arial" w:cs="Arial"/>
          <w:sz w:val="20"/>
        </w:rPr>
        <w:t>4</w:t>
      </w:r>
      <w:r>
        <w:rPr>
          <w:rFonts w:ascii="Arial" w:hAnsi="Arial" w:cs="Arial"/>
          <w:sz w:val="20"/>
        </w:rPr>
        <w:t xml:space="preserve">. </w:t>
      </w:r>
    </w:p>
    <w:p w14:paraId="3479EA32" w14:textId="77777777" w:rsidR="003F3CD5" w:rsidRDefault="003F3CD5" w:rsidP="00B5048D">
      <w:pPr>
        <w:ind w:left="360"/>
        <w:rPr>
          <w:rFonts w:ascii="Arial" w:hAnsi="Arial" w:cs="Arial"/>
          <w:sz w:val="20"/>
        </w:rPr>
      </w:pPr>
    </w:p>
    <w:p w14:paraId="4070D293" w14:textId="201F0714" w:rsidR="003F3CD5" w:rsidRPr="003F3CD5" w:rsidRDefault="003F3CD5" w:rsidP="003F3CD5">
      <w:pPr>
        <w:pStyle w:val="Heading2"/>
        <w:tabs>
          <w:tab w:val="clear" w:pos="1440"/>
          <w:tab w:val="clear" w:pos="2880"/>
          <w:tab w:val="clear" w:pos="4395"/>
          <w:tab w:val="clear" w:pos="5760"/>
          <w:tab w:val="clear" w:pos="7560"/>
        </w:tabs>
        <w:spacing w:line="0" w:lineRule="atLeast"/>
        <w:ind w:left="360"/>
        <w:rPr>
          <w:rFonts w:ascii="Century Gothic" w:hAnsi="Century Gothic" w:cs="Arial"/>
          <w:bCs w:val="0"/>
          <w:sz w:val="20"/>
        </w:rPr>
      </w:pPr>
      <w:bookmarkStart w:id="41" w:name="_9.4_Amortization_Threshold"/>
      <w:bookmarkEnd w:id="41"/>
      <w:r w:rsidRPr="003F3CD5">
        <w:rPr>
          <w:rFonts w:ascii="Century Gothic" w:hAnsi="Century Gothic" w:cs="Arial"/>
          <w:bCs w:val="0"/>
          <w:sz w:val="20"/>
        </w:rPr>
        <w:t>9.4 Amortization Threshold Amount</w:t>
      </w:r>
    </w:p>
    <w:p w14:paraId="5BD1243B" w14:textId="77777777" w:rsidR="003F3CD5" w:rsidRPr="003F3CD5" w:rsidRDefault="003F3CD5" w:rsidP="003F3CD5">
      <w:pPr>
        <w:ind w:left="360"/>
        <w:jc w:val="both"/>
        <w:rPr>
          <w:rFonts w:ascii="Arial" w:hAnsi="Arial" w:cs="Arial"/>
          <w:sz w:val="20"/>
        </w:rPr>
      </w:pPr>
      <w:r w:rsidRPr="003F3CD5">
        <w:rPr>
          <w:rFonts w:ascii="Arial" w:hAnsi="Arial" w:cs="Arial"/>
          <w:sz w:val="20"/>
        </w:rPr>
        <w:t xml:space="preserve">The purpose of this policy is to minimize the number of small (immaterial) amounts subjected to amortization </w:t>
      </w:r>
      <w:proofErr w:type="gramStart"/>
      <w:r w:rsidRPr="003F3CD5">
        <w:rPr>
          <w:rFonts w:ascii="Arial" w:hAnsi="Arial" w:cs="Arial"/>
          <w:sz w:val="20"/>
        </w:rPr>
        <w:t>in an effort to</w:t>
      </w:r>
      <w:proofErr w:type="gramEnd"/>
      <w:r w:rsidRPr="003F3CD5">
        <w:rPr>
          <w:rFonts w:ascii="Arial" w:hAnsi="Arial" w:cs="Arial"/>
          <w:sz w:val="20"/>
        </w:rPr>
        <w:t xml:space="preserve"> effectively manage and control waterfall schedules.</w:t>
      </w:r>
    </w:p>
    <w:p w14:paraId="711116F7" w14:textId="77777777" w:rsidR="00DF7DFD" w:rsidRPr="003F3CD5" w:rsidRDefault="00DF7DFD" w:rsidP="003F3CD5">
      <w:pPr>
        <w:ind w:left="360"/>
        <w:rPr>
          <w:rFonts w:ascii="Arial" w:hAnsi="Arial" w:cs="Arial"/>
          <w:sz w:val="20"/>
        </w:rPr>
      </w:pPr>
    </w:p>
    <w:p w14:paraId="0DB14B51" w14:textId="131004FB" w:rsidR="003F3CD5" w:rsidRPr="003F3CD5" w:rsidRDefault="003F3CD5" w:rsidP="003F3CD5">
      <w:pPr>
        <w:ind w:left="360"/>
        <w:jc w:val="both"/>
        <w:rPr>
          <w:rFonts w:ascii="Arial" w:hAnsi="Arial" w:cs="Arial"/>
          <w:sz w:val="20"/>
        </w:rPr>
      </w:pPr>
      <w:r w:rsidRPr="003F3CD5">
        <w:rPr>
          <w:rFonts w:ascii="Arial" w:hAnsi="Arial" w:cs="Arial"/>
          <w:sz w:val="20"/>
        </w:rPr>
        <w:t xml:space="preserve">The policy is limited to </w:t>
      </w:r>
      <w:r w:rsidRPr="003F3CD5">
        <w:rPr>
          <w:rFonts w:ascii="Arial" w:hAnsi="Arial" w:cs="Arial"/>
          <w:color w:val="222222"/>
          <w:sz w:val="20"/>
          <w:shd w:val="clear" w:color="auto" w:fill="FFFFFF"/>
        </w:rPr>
        <w:t>inventory adjustments, production variance</w:t>
      </w:r>
      <w:r w:rsidR="009D0470">
        <w:rPr>
          <w:rFonts w:ascii="Arial" w:hAnsi="Arial" w:cs="Arial"/>
          <w:color w:val="222222"/>
          <w:sz w:val="20"/>
          <w:shd w:val="clear" w:color="auto" w:fill="FFFFFF"/>
        </w:rPr>
        <w:t>s</w:t>
      </w:r>
      <w:r w:rsidRPr="003F3CD5">
        <w:rPr>
          <w:rFonts w:ascii="Arial" w:hAnsi="Arial" w:cs="Arial"/>
          <w:color w:val="222222"/>
          <w:sz w:val="20"/>
          <w:shd w:val="clear" w:color="auto" w:fill="FFFFFF"/>
        </w:rPr>
        <w:t>, purchase price variance</w:t>
      </w:r>
      <w:r w:rsidR="009D0470">
        <w:rPr>
          <w:rFonts w:ascii="Arial" w:hAnsi="Arial" w:cs="Arial"/>
          <w:color w:val="222222"/>
          <w:sz w:val="20"/>
          <w:shd w:val="clear" w:color="auto" w:fill="FFFFFF"/>
        </w:rPr>
        <w:t>s</w:t>
      </w:r>
      <w:r w:rsidRPr="003F3CD5">
        <w:rPr>
          <w:rFonts w:ascii="Arial" w:hAnsi="Arial" w:cs="Arial"/>
          <w:color w:val="222222"/>
          <w:sz w:val="20"/>
          <w:shd w:val="clear" w:color="auto" w:fill="FFFFFF"/>
        </w:rPr>
        <w:t xml:space="preserve">, and inbound </w:t>
      </w:r>
      <w:r w:rsidR="00400645">
        <w:rPr>
          <w:rFonts w:ascii="Arial" w:hAnsi="Arial" w:cs="Arial"/>
          <w:color w:val="222222"/>
          <w:sz w:val="20"/>
          <w:shd w:val="clear" w:color="auto" w:fill="FFFFFF"/>
        </w:rPr>
        <w:t xml:space="preserve">freight </w:t>
      </w:r>
      <w:r w:rsidRPr="003F3CD5">
        <w:rPr>
          <w:rFonts w:ascii="Arial" w:hAnsi="Arial" w:cs="Arial"/>
          <w:sz w:val="20"/>
        </w:rPr>
        <w:t>amortization impacting the following balance sheet GL accounts.</w:t>
      </w:r>
    </w:p>
    <w:p w14:paraId="65A309B0" w14:textId="77777777" w:rsidR="003F3CD5" w:rsidRPr="003F3CD5" w:rsidRDefault="003F3CD5" w:rsidP="003F3CD5">
      <w:pPr>
        <w:numPr>
          <w:ilvl w:val="0"/>
          <w:numId w:val="85"/>
        </w:numPr>
        <w:shd w:val="clear" w:color="auto" w:fill="FFFFFF"/>
        <w:tabs>
          <w:tab w:val="clear" w:pos="1440"/>
          <w:tab w:val="num" w:pos="0"/>
        </w:tabs>
        <w:spacing w:before="100" w:beforeAutospacing="1" w:after="100" w:afterAutospacing="1"/>
        <w:ind w:left="1530"/>
        <w:rPr>
          <w:rFonts w:ascii="Arial" w:hAnsi="Arial" w:cs="Arial"/>
          <w:sz w:val="20"/>
        </w:rPr>
      </w:pPr>
      <w:r w:rsidRPr="003F3CD5">
        <w:rPr>
          <w:rFonts w:ascii="Arial" w:hAnsi="Arial" w:cs="Arial"/>
          <w:sz w:val="20"/>
        </w:rPr>
        <w:t>Inventory adjustment, BS GL account - 130000</w:t>
      </w:r>
    </w:p>
    <w:p w14:paraId="3AB785AC" w14:textId="77777777" w:rsidR="003F3CD5" w:rsidRPr="003F3CD5" w:rsidRDefault="003F3CD5" w:rsidP="003F3CD5">
      <w:pPr>
        <w:numPr>
          <w:ilvl w:val="0"/>
          <w:numId w:val="85"/>
        </w:numPr>
        <w:shd w:val="clear" w:color="auto" w:fill="FFFFFF"/>
        <w:tabs>
          <w:tab w:val="clear" w:pos="1440"/>
          <w:tab w:val="num" w:pos="0"/>
        </w:tabs>
        <w:spacing w:before="100" w:beforeAutospacing="1" w:after="100" w:afterAutospacing="1"/>
        <w:ind w:left="1530"/>
        <w:rPr>
          <w:rFonts w:ascii="Arial" w:hAnsi="Arial" w:cs="Arial"/>
          <w:sz w:val="20"/>
        </w:rPr>
      </w:pPr>
      <w:r w:rsidRPr="003F3CD5">
        <w:rPr>
          <w:rFonts w:ascii="Arial" w:hAnsi="Arial" w:cs="Arial"/>
          <w:sz w:val="20"/>
        </w:rPr>
        <w:t>Production variance, BS GL account - 136002</w:t>
      </w:r>
    </w:p>
    <w:p w14:paraId="2D8FDE11" w14:textId="77777777" w:rsidR="003F3CD5" w:rsidRPr="003F3CD5" w:rsidRDefault="003F3CD5" w:rsidP="003F3CD5">
      <w:pPr>
        <w:numPr>
          <w:ilvl w:val="0"/>
          <w:numId w:val="85"/>
        </w:numPr>
        <w:shd w:val="clear" w:color="auto" w:fill="FFFFFF"/>
        <w:tabs>
          <w:tab w:val="clear" w:pos="1440"/>
          <w:tab w:val="num" w:pos="0"/>
        </w:tabs>
        <w:spacing w:before="100" w:beforeAutospacing="1" w:after="100" w:afterAutospacing="1"/>
        <w:ind w:left="1530"/>
        <w:rPr>
          <w:rFonts w:ascii="Arial" w:hAnsi="Arial" w:cs="Arial"/>
          <w:sz w:val="20"/>
        </w:rPr>
      </w:pPr>
      <w:r w:rsidRPr="003F3CD5">
        <w:rPr>
          <w:rFonts w:ascii="Arial" w:hAnsi="Arial" w:cs="Arial"/>
          <w:sz w:val="20"/>
        </w:rPr>
        <w:t>Purchase price variance, BS GL account - 136003</w:t>
      </w:r>
    </w:p>
    <w:p w14:paraId="7F95E447" w14:textId="77777777" w:rsidR="003F3CD5" w:rsidRPr="003F3CD5" w:rsidRDefault="003F3CD5" w:rsidP="003F3CD5">
      <w:pPr>
        <w:shd w:val="clear" w:color="auto" w:fill="FFFFFF"/>
        <w:spacing w:before="100" w:beforeAutospacing="1" w:after="100" w:afterAutospacing="1"/>
        <w:ind w:left="360"/>
        <w:rPr>
          <w:rFonts w:ascii="Arial" w:hAnsi="Arial" w:cs="Arial"/>
          <w:color w:val="222222"/>
          <w:sz w:val="20"/>
        </w:rPr>
      </w:pPr>
      <w:r w:rsidRPr="003F3CD5">
        <w:rPr>
          <w:rFonts w:ascii="Arial" w:hAnsi="Arial" w:cs="Arial"/>
          <w:color w:val="222222"/>
          <w:sz w:val="20"/>
        </w:rPr>
        <w:t>Under this new policy, any inventory adjustments, production variance, purchase price variance, and freight-inbound debit or credit in aggregate amount of $20,000 or less per profit center will be expensed to Cost of Goods Sold (COGS). However, any debit or credit in aggregate amount greater than $20,000 will be amortized over the approved inventory turns by profit center.</w:t>
      </w:r>
    </w:p>
    <w:p w14:paraId="34636EB5" w14:textId="77777777" w:rsidR="003F3CD5" w:rsidRPr="003F3CD5" w:rsidRDefault="003F3CD5" w:rsidP="003F3CD5">
      <w:pPr>
        <w:shd w:val="clear" w:color="auto" w:fill="FFFFFF"/>
        <w:spacing w:before="100" w:beforeAutospacing="1" w:after="100" w:afterAutospacing="1"/>
        <w:ind w:left="360"/>
        <w:rPr>
          <w:rFonts w:ascii="Arial" w:hAnsi="Arial" w:cs="Arial"/>
          <w:color w:val="222222"/>
          <w:sz w:val="20"/>
        </w:rPr>
      </w:pPr>
      <w:r w:rsidRPr="003F3CD5">
        <w:rPr>
          <w:rFonts w:ascii="Arial" w:hAnsi="Arial" w:cs="Arial"/>
          <w:color w:val="222222"/>
          <w:sz w:val="20"/>
        </w:rPr>
        <w:t xml:space="preserve">P&amp;L impact </w:t>
      </w:r>
      <w:proofErr w:type="gramStart"/>
      <w:r w:rsidRPr="003F3CD5">
        <w:rPr>
          <w:rFonts w:ascii="Arial" w:hAnsi="Arial" w:cs="Arial"/>
          <w:color w:val="222222"/>
          <w:sz w:val="20"/>
        </w:rPr>
        <w:t>to</w:t>
      </w:r>
      <w:proofErr w:type="gramEnd"/>
      <w:r w:rsidRPr="003F3CD5">
        <w:rPr>
          <w:rFonts w:ascii="Arial" w:hAnsi="Arial" w:cs="Arial"/>
          <w:color w:val="222222"/>
          <w:sz w:val="20"/>
        </w:rPr>
        <w:t xml:space="preserve"> COGS on items with aggregate amount of $20,000 and lower per profit center will be reclassed from the respective balance sheet accounts referenced above to the P&amp;L accounts referenced below. Freight inbound amounts within the same threshold will be left in the freight-inbound P&amp;L account 530100.  Freight inbound amounts in aggregate greater than $20,000 per profit center per period will be reclassed to inventory adjustment account then amortized based on inventory turns. </w:t>
      </w:r>
    </w:p>
    <w:p w14:paraId="659AD36B" w14:textId="77777777" w:rsidR="003F3CD5" w:rsidRPr="003F3CD5" w:rsidRDefault="003F3CD5" w:rsidP="003F3CD5">
      <w:pPr>
        <w:numPr>
          <w:ilvl w:val="0"/>
          <w:numId w:val="85"/>
        </w:numPr>
        <w:shd w:val="clear" w:color="auto" w:fill="FFFFFF"/>
        <w:spacing w:before="100" w:beforeAutospacing="1" w:after="100" w:afterAutospacing="1"/>
        <w:rPr>
          <w:rFonts w:ascii="Arial" w:hAnsi="Arial" w:cs="Arial"/>
          <w:sz w:val="20"/>
        </w:rPr>
      </w:pPr>
      <w:r w:rsidRPr="003F3CD5">
        <w:rPr>
          <w:rFonts w:ascii="Arial" w:hAnsi="Arial" w:cs="Arial"/>
          <w:sz w:val="20"/>
        </w:rPr>
        <w:t>Inventory adjustment, P&amp;L GL account - 500003</w:t>
      </w:r>
    </w:p>
    <w:p w14:paraId="7FAD9C83" w14:textId="77777777" w:rsidR="003F3CD5" w:rsidRPr="003F3CD5" w:rsidRDefault="003F3CD5" w:rsidP="003F3CD5">
      <w:pPr>
        <w:numPr>
          <w:ilvl w:val="0"/>
          <w:numId w:val="85"/>
        </w:numPr>
        <w:shd w:val="clear" w:color="auto" w:fill="FFFFFF"/>
        <w:spacing w:before="100" w:beforeAutospacing="1" w:after="100" w:afterAutospacing="1"/>
        <w:rPr>
          <w:rFonts w:ascii="Arial" w:hAnsi="Arial" w:cs="Arial"/>
          <w:sz w:val="20"/>
        </w:rPr>
      </w:pPr>
      <w:r w:rsidRPr="003F3CD5">
        <w:rPr>
          <w:rFonts w:ascii="Arial" w:hAnsi="Arial" w:cs="Arial"/>
          <w:sz w:val="20"/>
        </w:rPr>
        <w:t>Production variance, P&amp;L GL account - 500013</w:t>
      </w:r>
    </w:p>
    <w:p w14:paraId="425A5C54" w14:textId="77777777" w:rsidR="003F3CD5" w:rsidRPr="003F3CD5" w:rsidRDefault="003F3CD5" w:rsidP="003F3CD5">
      <w:pPr>
        <w:numPr>
          <w:ilvl w:val="0"/>
          <w:numId w:val="85"/>
        </w:numPr>
        <w:shd w:val="clear" w:color="auto" w:fill="FFFFFF"/>
        <w:spacing w:before="100" w:beforeAutospacing="1" w:after="100" w:afterAutospacing="1"/>
        <w:rPr>
          <w:rFonts w:ascii="Arial" w:hAnsi="Arial" w:cs="Arial"/>
          <w:sz w:val="20"/>
        </w:rPr>
      </w:pPr>
      <w:r w:rsidRPr="003F3CD5">
        <w:rPr>
          <w:rFonts w:ascii="Arial" w:hAnsi="Arial" w:cs="Arial"/>
          <w:sz w:val="20"/>
        </w:rPr>
        <w:t>Purchase price variance, P&amp;L GL account - 500012</w:t>
      </w:r>
    </w:p>
    <w:p w14:paraId="1F94DD68" w14:textId="77777777" w:rsidR="003F3CD5" w:rsidRPr="003F3CD5" w:rsidRDefault="003F3CD5" w:rsidP="003F3CD5">
      <w:pPr>
        <w:numPr>
          <w:ilvl w:val="0"/>
          <w:numId w:val="85"/>
        </w:numPr>
        <w:shd w:val="clear" w:color="auto" w:fill="FFFFFF"/>
        <w:spacing w:before="100" w:beforeAutospacing="1" w:after="100" w:afterAutospacing="1"/>
        <w:rPr>
          <w:rFonts w:ascii="Arial" w:hAnsi="Arial" w:cs="Arial"/>
          <w:sz w:val="20"/>
        </w:rPr>
      </w:pPr>
      <w:r w:rsidRPr="003F3CD5">
        <w:rPr>
          <w:rFonts w:ascii="Arial" w:hAnsi="Arial" w:cs="Arial"/>
          <w:sz w:val="20"/>
        </w:rPr>
        <w:t>Freight-inbound, P&amp;L GL account - 530100</w:t>
      </w:r>
    </w:p>
    <w:p w14:paraId="2CFE9EEC" w14:textId="77777777" w:rsidR="003F3CD5" w:rsidRPr="003F3CD5" w:rsidRDefault="003F3CD5" w:rsidP="003F3CD5">
      <w:pPr>
        <w:shd w:val="clear" w:color="auto" w:fill="FFFFFF"/>
        <w:spacing w:before="100" w:beforeAutospacing="1" w:after="100" w:afterAutospacing="1"/>
        <w:ind w:left="360"/>
        <w:rPr>
          <w:rFonts w:ascii="Arial" w:hAnsi="Arial" w:cs="Arial"/>
          <w:color w:val="222222"/>
          <w:sz w:val="20"/>
        </w:rPr>
      </w:pPr>
      <w:r w:rsidRPr="003F3CD5">
        <w:rPr>
          <w:rFonts w:ascii="Arial" w:hAnsi="Arial" w:cs="Arial"/>
          <w:color w:val="222222"/>
          <w:sz w:val="20"/>
        </w:rPr>
        <w:t xml:space="preserve">It's important for the company to ensure proper documentation and compliance with accounting standards when implementing this policy change to accurately reflect financial transactions and maintain transparency in reporting. Regular monitoring and review of the impact of this policy will also be crucial to </w:t>
      </w:r>
      <w:proofErr w:type="gramStart"/>
      <w:r w:rsidRPr="003F3CD5">
        <w:rPr>
          <w:rFonts w:ascii="Arial" w:hAnsi="Arial" w:cs="Arial"/>
          <w:color w:val="222222"/>
          <w:sz w:val="20"/>
        </w:rPr>
        <w:t>assess</w:t>
      </w:r>
      <w:proofErr w:type="gramEnd"/>
      <w:r w:rsidRPr="003F3CD5">
        <w:rPr>
          <w:rFonts w:ascii="Arial" w:hAnsi="Arial" w:cs="Arial"/>
          <w:color w:val="222222"/>
          <w:sz w:val="20"/>
        </w:rPr>
        <w:t xml:space="preserve"> its effectiveness in achieving the desired objectives.</w:t>
      </w:r>
    </w:p>
    <w:p w14:paraId="1CA59068" w14:textId="4D973E0F" w:rsidR="003F3CD5" w:rsidRDefault="003F3CD5" w:rsidP="003F3CD5">
      <w:pPr>
        <w:shd w:val="clear" w:color="auto" w:fill="FFFFFF"/>
        <w:spacing w:before="100" w:beforeAutospacing="1" w:after="100" w:afterAutospacing="1"/>
        <w:ind w:left="360"/>
        <w:rPr>
          <w:rFonts w:ascii="Arial" w:hAnsi="Arial" w:cs="Arial"/>
          <w:color w:val="000000" w:themeColor="text1"/>
          <w:sz w:val="20"/>
        </w:rPr>
      </w:pPr>
      <w:r w:rsidRPr="003F3CD5">
        <w:rPr>
          <w:rFonts w:ascii="Arial" w:hAnsi="Arial" w:cs="Arial"/>
          <w:b/>
          <w:bCs/>
          <w:color w:val="000000" w:themeColor="text1"/>
          <w:sz w:val="20"/>
        </w:rPr>
        <w:t>Note:</w:t>
      </w:r>
      <w:r w:rsidRPr="003F3CD5">
        <w:rPr>
          <w:rFonts w:ascii="Arial" w:hAnsi="Arial" w:cs="Arial"/>
          <w:color w:val="000000" w:themeColor="text1"/>
          <w:sz w:val="20"/>
        </w:rPr>
        <w:t xml:space="preserve"> Amounts of $20,000 or lower that are currently in waterfall schedule as of </w:t>
      </w:r>
      <w:r w:rsidR="00C83A01">
        <w:rPr>
          <w:rFonts w:ascii="Arial" w:hAnsi="Arial" w:cs="Arial"/>
          <w:color w:val="000000" w:themeColor="text1"/>
          <w:sz w:val="20"/>
        </w:rPr>
        <w:t xml:space="preserve">December 31, </w:t>
      </w:r>
      <w:proofErr w:type="gramStart"/>
      <w:r w:rsidR="00C83A01">
        <w:rPr>
          <w:rFonts w:ascii="Arial" w:hAnsi="Arial" w:cs="Arial"/>
          <w:color w:val="000000" w:themeColor="text1"/>
          <w:sz w:val="20"/>
        </w:rPr>
        <w:t>2024</w:t>
      </w:r>
      <w:proofErr w:type="gramEnd"/>
      <w:r w:rsidRPr="003F3CD5">
        <w:rPr>
          <w:rFonts w:ascii="Arial" w:hAnsi="Arial" w:cs="Arial"/>
          <w:color w:val="000000" w:themeColor="text1"/>
          <w:sz w:val="20"/>
        </w:rPr>
        <w:t xml:space="preserve"> will continue to be amortized consistently until they clear off the balance sheet accounts.  </w:t>
      </w:r>
    </w:p>
    <w:p w14:paraId="2CABE3C1" w14:textId="5A2C622D" w:rsidR="00AC2180" w:rsidRPr="003F3CD5" w:rsidRDefault="00AC2180" w:rsidP="003F3CD5">
      <w:pPr>
        <w:shd w:val="clear" w:color="auto" w:fill="FFFFFF"/>
        <w:spacing w:before="100" w:beforeAutospacing="1" w:after="100" w:afterAutospacing="1"/>
        <w:ind w:left="360"/>
        <w:rPr>
          <w:rFonts w:ascii="Arial" w:hAnsi="Arial" w:cs="Arial"/>
          <w:color w:val="000000" w:themeColor="text1"/>
          <w:sz w:val="20"/>
        </w:rPr>
      </w:pPr>
      <w:r w:rsidRPr="003F3CD5">
        <w:rPr>
          <w:rFonts w:ascii="Arial" w:hAnsi="Arial" w:cs="Arial"/>
          <w:color w:val="222222"/>
          <w:sz w:val="20"/>
        </w:rPr>
        <w:t>This policy will be effective starting from Period Q1 of 202</w:t>
      </w:r>
      <w:r>
        <w:rPr>
          <w:rFonts w:ascii="Arial" w:hAnsi="Arial" w:cs="Arial"/>
          <w:color w:val="222222"/>
          <w:sz w:val="20"/>
        </w:rPr>
        <w:t>5</w:t>
      </w:r>
      <w:r w:rsidRPr="003F3CD5">
        <w:rPr>
          <w:rFonts w:ascii="Arial" w:hAnsi="Arial" w:cs="Arial"/>
          <w:color w:val="222222"/>
          <w:sz w:val="20"/>
        </w:rPr>
        <w:t>. This means that in the first quarter of 202</w:t>
      </w:r>
      <w:r>
        <w:rPr>
          <w:rFonts w:ascii="Arial" w:hAnsi="Arial" w:cs="Arial"/>
          <w:color w:val="222222"/>
          <w:sz w:val="20"/>
        </w:rPr>
        <w:t>5</w:t>
      </w:r>
      <w:r w:rsidRPr="003F3CD5">
        <w:rPr>
          <w:rFonts w:ascii="Arial" w:hAnsi="Arial" w:cs="Arial"/>
          <w:color w:val="222222"/>
          <w:sz w:val="20"/>
        </w:rPr>
        <w:t>, any applicable transactions falling under the specified threshold will be directly expensed to COGS as referenced above, while those exceeding $20,000 per profit center will be subject to amortization (Waterfall).</w:t>
      </w:r>
    </w:p>
    <w:p w14:paraId="37AAF3C6" w14:textId="109B4C09" w:rsidR="00DF7DFD" w:rsidRDefault="00F62BB8" w:rsidP="00B5048D">
      <w:pPr>
        <w:pStyle w:val="Heading2"/>
        <w:tabs>
          <w:tab w:val="clear" w:pos="1440"/>
          <w:tab w:val="clear" w:pos="2880"/>
          <w:tab w:val="clear" w:pos="4395"/>
          <w:tab w:val="clear" w:pos="5760"/>
          <w:tab w:val="clear" w:pos="7560"/>
        </w:tabs>
        <w:spacing w:line="0" w:lineRule="atLeast"/>
        <w:ind w:left="360"/>
        <w:rPr>
          <w:rFonts w:ascii="Century Gothic" w:hAnsi="Century Gothic" w:cs="Arial"/>
          <w:bCs w:val="0"/>
          <w:sz w:val="20"/>
        </w:rPr>
      </w:pPr>
      <w:bookmarkStart w:id="42" w:name="_9.4_Inventory_Reserves"/>
      <w:bookmarkStart w:id="43" w:name="_Toc308509449"/>
      <w:bookmarkEnd w:id="42"/>
      <w:r>
        <w:rPr>
          <w:rFonts w:ascii="Century Gothic" w:hAnsi="Century Gothic" w:cs="Arial"/>
          <w:bCs w:val="0"/>
          <w:sz w:val="20"/>
        </w:rPr>
        <w:t>9.</w:t>
      </w:r>
      <w:r w:rsidR="003F3CD5">
        <w:rPr>
          <w:rFonts w:ascii="Century Gothic" w:hAnsi="Century Gothic" w:cs="Arial"/>
          <w:bCs w:val="0"/>
          <w:sz w:val="20"/>
        </w:rPr>
        <w:t>5</w:t>
      </w:r>
      <w:r>
        <w:rPr>
          <w:rFonts w:ascii="Century Gothic" w:hAnsi="Century Gothic" w:cs="Arial"/>
          <w:bCs w:val="0"/>
          <w:sz w:val="20"/>
        </w:rPr>
        <w:t xml:space="preserve"> Inventory </w:t>
      </w:r>
      <w:bookmarkEnd w:id="43"/>
      <w:r>
        <w:rPr>
          <w:rFonts w:ascii="Century Gothic" w:hAnsi="Century Gothic" w:cs="Arial"/>
          <w:bCs w:val="0"/>
          <w:sz w:val="20"/>
        </w:rPr>
        <w:t>Reserves</w:t>
      </w:r>
    </w:p>
    <w:p w14:paraId="3456B817" w14:textId="689BD9C9" w:rsidR="00DF7DFD" w:rsidRDefault="00F62BB8" w:rsidP="00B5048D">
      <w:pPr>
        <w:spacing w:line="0" w:lineRule="atLeast"/>
        <w:ind w:left="360"/>
        <w:jc w:val="both"/>
        <w:rPr>
          <w:rFonts w:ascii="Arial" w:hAnsi="Arial" w:cs="Arial"/>
          <w:b/>
          <w:sz w:val="20"/>
        </w:rPr>
      </w:pPr>
      <w:r>
        <w:rPr>
          <w:rFonts w:ascii="Arial" w:hAnsi="Arial" w:cs="Arial"/>
          <w:sz w:val="20"/>
        </w:rPr>
        <w:t>Inventories should initially be valued at cost with a separate reserve to reduce excess, obsolete and slow-moving inventories to net realizable value (E&amp;O reserve</w:t>
      </w:r>
      <w:r w:rsidR="00BC63DF">
        <w:rPr>
          <w:rFonts w:ascii="Arial" w:hAnsi="Arial" w:cs="Arial"/>
          <w:sz w:val="20"/>
        </w:rPr>
        <w:t xml:space="preserve"> </w:t>
      </w:r>
      <w:r w:rsidR="00BC63DF" w:rsidRPr="008A2CD3">
        <w:rPr>
          <w:rFonts w:ascii="Arial" w:hAnsi="Arial" w:cs="Arial"/>
          <w:sz w:val="20"/>
        </w:rPr>
        <w:t>G/L</w:t>
      </w:r>
      <w:r w:rsidRPr="008A2CD3">
        <w:rPr>
          <w:rFonts w:ascii="Arial" w:hAnsi="Arial" w:cs="Arial"/>
          <w:sz w:val="20"/>
        </w:rPr>
        <w:t xml:space="preserve"> account 136006; COS </w:t>
      </w:r>
      <w:r w:rsidR="00BC63DF" w:rsidRPr="008A2CD3">
        <w:rPr>
          <w:rFonts w:ascii="Arial" w:hAnsi="Arial" w:cs="Arial"/>
          <w:sz w:val="20"/>
        </w:rPr>
        <w:t xml:space="preserve">G/L </w:t>
      </w:r>
      <w:r w:rsidRPr="008A2CD3">
        <w:rPr>
          <w:rFonts w:ascii="Arial" w:hAnsi="Arial" w:cs="Arial"/>
          <w:sz w:val="20"/>
        </w:rPr>
        <w:t>account</w:t>
      </w:r>
      <w:r>
        <w:rPr>
          <w:rFonts w:ascii="Arial" w:hAnsi="Arial" w:cs="Arial"/>
          <w:sz w:val="20"/>
        </w:rPr>
        <w:t xml:space="preserve"> 500003).  Reviews for excess, obsolete and slow</w:t>
      </w:r>
      <w:r w:rsidR="00C15345">
        <w:rPr>
          <w:rFonts w:ascii="Arial" w:hAnsi="Arial" w:cs="Arial"/>
          <w:sz w:val="20"/>
        </w:rPr>
        <w:t>-</w:t>
      </w:r>
      <w:r>
        <w:rPr>
          <w:rFonts w:ascii="Arial" w:hAnsi="Arial" w:cs="Arial"/>
          <w:sz w:val="20"/>
        </w:rPr>
        <w:t>moving inventory should be performed monthly.  Monthly inventory reserve reviews should be held in conjunction with the Operations team. A full reserve should be held against all inventory products where development expenditures are still being incurred.</w:t>
      </w:r>
      <w:r>
        <w:rPr>
          <w:rFonts w:ascii="Arial" w:hAnsi="Arial" w:cs="Arial"/>
          <w:b/>
          <w:sz w:val="20"/>
        </w:rPr>
        <w:t xml:space="preserve">  </w:t>
      </w:r>
    </w:p>
    <w:p w14:paraId="7DE116EE" w14:textId="77777777" w:rsidR="00DF7DFD" w:rsidRDefault="00DF7DFD" w:rsidP="00B5048D">
      <w:pPr>
        <w:spacing w:line="0" w:lineRule="atLeast"/>
        <w:ind w:left="360" w:firstLine="390"/>
        <w:jc w:val="both"/>
        <w:rPr>
          <w:rFonts w:ascii="Arial" w:hAnsi="Arial" w:cs="Arial"/>
          <w:sz w:val="20"/>
        </w:rPr>
      </w:pPr>
    </w:p>
    <w:p w14:paraId="3F399ABA" w14:textId="7FBC5441" w:rsidR="00DF7DFD" w:rsidRDefault="00F62BB8" w:rsidP="00B5048D">
      <w:pPr>
        <w:spacing w:line="0" w:lineRule="atLeast"/>
        <w:ind w:left="360"/>
        <w:jc w:val="both"/>
        <w:rPr>
          <w:rFonts w:ascii="Arial" w:hAnsi="Arial" w:cs="Arial"/>
          <w:sz w:val="20"/>
        </w:rPr>
      </w:pPr>
      <w:r>
        <w:rPr>
          <w:rFonts w:ascii="Arial" w:hAnsi="Arial" w:cs="Arial"/>
          <w:sz w:val="20"/>
        </w:rPr>
        <w:t xml:space="preserve">Obsolete inventories are those no longer saleable or usable due to technological </w:t>
      </w:r>
      <w:r w:rsidR="00BE177C">
        <w:rPr>
          <w:rFonts w:ascii="Arial" w:hAnsi="Arial" w:cs="Arial"/>
          <w:sz w:val="20"/>
        </w:rPr>
        <w:t>advancement,</w:t>
      </w:r>
      <w:r>
        <w:rPr>
          <w:rFonts w:ascii="Arial" w:hAnsi="Arial" w:cs="Arial"/>
          <w:sz w:val="20"/>
        </w:rPr>
        <w:t xml:space="preserve"> short remaining shelf life, physical deterioration or elimination of market demand.  This applies to all types of </w:t>
      </w:r>
      <w:r w:rsidR="00BE177C">
        <w:rPr>
          <w:rFonts w:ascii="Arial" w:hAnsi="Arial" w:cs="Arial"/>
          <w:sz w:val="20"/>
        </w:rPr>
        <w:t>inventories</w:t>
      </w:r>
      <w:r>
        <w:rPr>
          <w:rFonts w:ascii="Arial" w:hAnsi="Arial" w:cs="Arial"/>
          <w:sz w:val="20"/>
        </w:rPr>
        <w:t xml:space="preserve">. All such inventories must be </w:t>
      </w:r>
      <w:r w:rsidR="00BE177C">
        <w:rPr>
          <w:rFonts w:ascii="Arial" w:hAnsi="Arial" w:cs="Arial"/>
          <w:sz w:val="20"/>
        </w:rPr>
        <w:t>reserved</w:t>
      </w:r>
      <w:r>
        <w:rPr>
          <w:rFonts w:ascii="Arial" w:hAnsi="Arial" w:cs="Arial"/>
          <w:sz w:val="20"/>
        </w:rPr>
        <w:t xml:space="preserve"> in full (less any salvage value if appropriate).  Inventories for which there is no foreseeable market should be segregated from normal inventories and physically destroyed within 180 days of being identified as obsolete. </w:t>
      </w:r>
    </w:p>
    <w:p w14:paraId="1FF1AB90" w14:textId="77777777" w:rsidR="00DF7DFD" w:rsidRDefault="00DF7DFD" w:rsidP="00B5048D">
      <w:pPr>
        <w:spacing w:line="0" w:lineRule="atLeast"/>
        <w:ind w:left="360" w:firstLine="390"/>
        <w:jc w:val="both"/>
        <w:rPr>
          <w:rFonts w:ascii="Arial" w:hAnsi="Arial" w:cs="Arial"/>
          <w:sz w:val="20"/>
        </w:rPr>
      </w:pPr>
    </w:p>
    <w:p w14:paraId="154F6C90" w14:textId="77777777" w:rsidR="00DF7DFD" w:rsidRDefault="00F62BB8" w:rsidP="00B5048D">
      <w:pPr>
        <w:spacing w:line="0" w:lineRule="atLeast"/>
        <w:ind w:left="360" w:firstLine="90"/>
        <w:jc w:val="both"/>
        <w:rPr>
          <w:rFonts w:ascii="Arial" w:hAnsi="Arial" w:cs="Arial"/>
          <w:sz w:val="20"/>
        </w:rPr>
      </w:pPr>
      <w:r>
        <w:rPr>
          <w:rFonts w:ascii="Arial" w:hAnsi="Arial" w:cs="Arial"/>
          <w:sz w:val="20"/>
        </w:rPr>
        <w:t xml:space="preserve">Finished goods inventories are considered excess if </w:t>
      </w:r>
      <w:proofErr w:type="gramStart"/>
      <w:r>
        <w:rPr>
          <w:rFonts w:ascii="Arial" w:hAnsi="Arial" w:cs="Arial"/>
          <w:sz w:val="20"/>
        </w:rPr>
        <w:t>all of</w:t>
      </w:r>
      <w:proofErr w:type="gramEnd"/>
      <w:r>
        <w:rPr>
          <w:rFonts w:ascii="Arial" w:hAnsi="Arial" w:cs="Arial"/>
          <w:sz w:val="20"/>
        </w:rPr>
        <w:t xml:space="preserve"> the following are met:</w:t>
      </w:r>
    </w:p>
    <w:p w14:paraId="23047B19" w14:textId="77777777" w:rsidR="00DF7DFD" w:rsidRDefault="00F62BB8" w:rsidP="00B5048D">
      <w:pPr>
        <w:numPr>
          <w:ilvl w:val="0"/>
          <w:numId w:val="8"/>
        </w:numPr>
        <w:spacing w:line="0" w:lineRule="atLeast"/>
        <w:jc w:val="both"/>
        <w:rPr>
          <w:rFonts w:ascii="Arial" w:hAnsi="Arial" w:cs="Arial"/>
          <w:sz w:val="20"/>
        </w:rPr>
      </w:pPr>
      <w:r>
        <w:rPr>
          <w:rFonts w:ascii="Arial" w:hAnsi="Arial" w:cs="Arial"/>
          <w:sz w:val="20"/>
        </w:rPr>
        <w:t xml:space="preserve">Inventories have received all regulatory approvals. </w:t>
      </w:r>
    </w:p>
    <w:p w14:paraId="7DF33D0E" w14:textId="77777777" w:rsidR="00DF7DFD" w:rsidRDefault="00F62BB8" w:rsidP="00B5048D">
      <w:pPr>
        <w:numPr>
          <w:ilvl w:val="0"/>
          <w:numId w:val="8"/>
        </w:numPr>
        <w:spacing w:line="0" w:lineRule="atLeast"/>
        <w:jc w:val="both"/>
        <w:rPr>
          <w:rFonts w:ascii="Arial" w:hAnsi="Arial" w:cs="Arial"/>
          <w:sz w:val="20"/>
        </w:rPr>
      </w:pPr>
      <w:r>
        <w:rPr>
          <w:rFonts w:ascii="Arial" w:hAnsi="Arial" w:cs="Arial"/>
          <w:sz w:val="20"/>
        </w:rPr>
        <w:t xml:space="preserve">Inventories have been on the market for a minimum of 24 months. </w:t>
      </w:r>
    </w:p>
    <w:p w14:paraId="777A2D28" w14:textId="5C93E0B1" w:rsidR="00DF7DFD" w:rsidRDefault="00F62BB8" w:rsidP="00B5048D">
      <w:pPr>
        <w:numPr>
          <w:ilvl w:val="0"/>
          <w:numId w:val="8"/>
        </w:numPr>
        <w:spacing w:line="0" w:lineRule="atLeast"/>
        <w:jc w:val="both"/>
        <w:rPr>
          <w:rFonts w:ascii="Arial" w:hAnsi="Arial" w:cs="Arial"/>
          <w:sz w:val="20"/>
        </w:rPr>
      </w:pPr>
      <w:r>
        <w:rPr>
          <w:rFonts w:ascii="Arial" w:hAnsi="Arial" w:cs="Arial"/>
          <w:sz w:val="20"/>
        </w:rPr>
        <w:t>Inventory on hand is greater than 24 months of sales</w:t>
      </w:r>
      <w:r w:rsidR="00D54E90">
        <w:rPr>
          <w:rFonts w:ascii="Arial" w:hAnsi="Arial" w:cs="Arial"/>
          <w:sz w:val="20"/>
        </w:rPr>
        <w:t xml:space="preserve"> (excluding certain products that have a longer shelf-life such as Nexus generators and surgical needles)</w:t>
      </w:r>
      <w:r>
        <w:rPr>
          <w:rFonts w:ascii="Arial" w:hAnsi="Arial" w:cs="Arial"/>
          <w:sz w:val="20"/>
        </w:rPr>
        <w:t xml:space="preserve">.  </w:t>
      </w:r>
    </w:p>
    <w:p w14:paraId="2523471A" w14:textId="3DFEF499" w:rsidR="00DF7DFD" w:rsidRDefault="00F62BB8" w:rsidP="00B5048D">
      <w:pPr>
        <w:numPr>
          <w:ilvl w:val="0"/>
          <w:numId w:val="8"/>
        </w:numPr>
        <w:spacing w:line="0" w:lineRule="atLeast"/>
        <w:jc w:val="both"/>
        <w:rPr>
          <w:rFonts w:ascii="Arial" w:hAnsi="Arial" w:cs="Arial"/>
          <w:sz w:val="20"/>
        </w:rPr>
      </w:pPr>
      <w:r>
        <w:rPr>
          <w:rFonts w:ascii="Arial" w:hAnsi="Arial" w:cs="Arial"/>
          <w:sz w:val="20"/>
        </w:rPr>
        <w:t xml:space="preserve">For established products this should be calculated on </w:t>
      </w:r>
      <w:r w:rsidR="007F5580">
        <w:rPr>
          <w:rFonts w:ascii="Arial" w:hAnsi="Arial" w:cs="Arial"/>
          <w:sz w:val="20"/>
        </w:rPr>
        <w:t xml:space="preserve">the </w:t>
      </w:r>
      <w:proofErr w:type="gramStart"/>
      <w:r w:rsidR="007F5580">
        <w:rPr>
          <w:rFonts w:ascii="Arial" w:hAnsi="Arial" w:cs="Arial"/>
          <w:sz w:val="20"/>
        </w:rPr>
        <w:t>forward looking</w:t>
      </w:r>
      <w:proofErr w:type="gramEnd"/>
      <w:r w:rsidR="007F5580">
        <w:rPr>
          <w:rFonts w:ascii="Arial" w:hAnsi="Arial" w:cs="Arial"/>
          <w:sz w:val="20"/>
        </w:rPr>
        <w:t xml:space="preserve"> demand forecast</w:t>
      </w:r>
      <w:r>
        <w:rPr>
          <w:rFonts w:ascii="Arial" w:hAnsi="Arial" w:cs="Arial"/>
          <w:sz w:val="20"/>
        </w:rPr>
        <w:t xml:space="preserve">.  </w:t>
      </w:r>
    </w:p>
    <w:p w14:paraId="556B75C1" w14:textId="77777777" w:rsidR="00DF7DFD" w:rsidRDefault="00F62BB8" w:rsidP="00B5048D">
      <w:pPr>
        <w:numPr>
          <w:ilvl w:val="0"/>
          <w:numId w:val="8"/>
        </w:numPr>
        <w:spacing w:line="0" w:lineRule="atLeast"/>
        <w:jc w:val="both"/>
        <w:rPr>
          <w:rFonts w:ascii="Arial" w:hAnsi="Arial" w:cs="Arial"/>
          <w:sz w:val="20"/>
        </w:rPr>
      </w:pPr>
      <w:r>
        <w:rPr>
          <w:rFonts w:ascii="Arial" w:hAnsi="Arial" w:cs="Arial"/>
          <w:sz w:val="20"/>
        </w:rPr>
        <w:t xml:space="preserve">For declining products or new products also consider the </w:t>
      </w:r>
      <w:proofErr w:type="gramStart"/>
      <w:r>
        <w:rPr>
          <w:rFonts w:ascii="Arial" w:hAnsi="Arial" w:cs="Arial"/>
          <w:sz w:val="20"/>
        </w:rPr>
        <w:t>forecasted</w:t>
      </w:r>
      <w:proofErr w:type="gramEnd"/>
      <w:r>
        <w:rPr>
          <w:rFonts w:ascii="Arial" w:hAnsi="Arial" w:cs="Arial"/>
          <w:sz w:val="20"/>
        </w:rPr>
        <w:t xml:space="preserve"> next 12 months’ sales/usage.</w:t>
      </w:r>
    </w:p>
    <w:p w14:paraId="718A583D" w14:textId="0C5E07A8" w:rsidR="00D54E90" w:rsidRDefault="00D54E90" w:rsidP="00B5048D">
      <w:pPr>
        <w:numPr>
          <w:ilvl w:val="0"/>
          <w:numId w:val="8"/>
        </w:numPr>
        <w:spacing w:line="0" w:lineRule="atLeast"/>
        <w:jc w:val="both"/>
        <w:rPr>
          <w:rFonts w:ascii="Arial" w:hAnsi="Arial" w:cs="Arial"/>
          <w:sz w:val="20"/>
        </w:rPr>
      </w:pPr>
      <w:r>
        <w:rPr>
          <w:rFonts w:ascii="Arial" w:hAnsi="Arial" w:cs="Arial"/>
          <w:sz w:val="20"/>
        </w:rPr>
        <w:t>Inventory is not expected to be used prior to its expiration date.</w:t>
      </w:r>
    </w:p>
    <w:p w14:paraId="169147A1" w14:textId="77777777" w:rsidR="00DF7DFD" w:rsidRDefault="00DF7DFD" w:rsidP="00B5048D">
      <w:pPr>
        <w:spacing w:line="0" w:lineRule="atLeast"/>
        <w:ind w:left="270" w:firstLine="390"/>
        <w:jc w:val="both"/>
        <w:rPr>
          <w:rFonts w:ascii="Arial" w:hAnsi="Arial" w:cs="Arial"/>
          <w:sz w:val="20"/>
        </w:rPr>
      </w:pPr>
    </w:p>
    <w:p w14:paraId="5E75AF26"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Field </w:t>
      </w:r>
      <w:proofErr w:type="gramStart"/>
      <w:r>
        <w:rPr>
          <w:rFonts w:ascii="Arial" w:hAnsi="Arial" w:cs="Arial"/>
          <w:sz w:val="20"/>
        </w:rPr>
        <w:t>inventories</w:t>
      </w:r>
      <w:proofErr w:type="gramEnd"/>
      <w:r>
        <w:rPr>
          <w:rFonts w:ascii="Arial" w:hAnsi="Arial" w:cs="Arial"/>
          <w:sz w:val="20"/>
        </w:rPr>
        <w:t xml:space="preserve"> shrink reserve should include the following:</w:t>
      </w:r>
    </w:p>
    <w:p w14:paraId="63CD1F77" w14:textId="77777777" w:rsidR="00DF7DFD" w:rsidRDefault="00F62BB8" w:rsidP="00B5048D">
      <w:pPr>
        <w:numPr>
          <w:ilvl w:val="0"/>
          <w:numId w:val="9"/>
        </w:numPr>
        <w:spacing w:line="0" w:lineRule="atLeast"/>
        <w:jc w:val="both"/>
        <w:rPr>
          <w:rFonts w:ascii="Arial" w:hAnsi="Arial" w:cs="Arial"/>
          <w:sz w:val="20"/>
        </w:rPr>
      </w:pPr>
      <w:r>
        <w:rPr>
          <w:rFonts w:ascii="Arial" w:hAnsi="Arial" w:cs="Arial"/>
          <w:sz w:val="20"/>
        </w:rPr>
        <w:t>Inventory held by terminated sales representatives not yet reconciled.  Reserved at 100% of cost.</w:t>
      </w:r>
    </w:p>
    <w:p w14:paraId="4F3D1031" w14:textId="0DECDE88" w:rsidR="00DF7DFD" w:rsidRDefault="00F62BB8" w:rsidP="00B5048D">
      <w:pPr>
        <w:numPr>
          <w:ilvl w:val="0"/>
          <w:numId w:val="9"/>
        </w:numPr>
        <w:spacing w:line="0" w:lineRule="atLeast"/>
        <w:jc w:val="both"/>
        <w:rPr>
          <w:rFonts w:ascii="Arial" w:hAnsi="Arial" w:cs="Arial"/>
          <w:sz w:val="20"/>
        </w:rPr>
      </w:pPr>
      <w:r>
        <w:rPr>
          <w:rFonts w:ascii="Arial" w:hAnsi="Arial" w:cs="Arial"/>
          <w:sz w:val="20"/>
        </w:rPr>
        <w:t xml:space="preserve">Inventory in the field </w:t>
      </w:r>
      <w:r w:rsidR="00D54E90">
        <w:rPr>
          <w:rFonts w:ascii="Arial" w:hAnsi="Arial" w:cs="Arial"/>
          <w:sz w:val="20"/>
        </w:rPr>
        <w:t xml:space="preserve">(such as Exogen trunk stock) </w:t>
      </w:r>
      <w:r>
        <w:rPr>
          <w:rFonts w:ascii="Arial" w:hAnsi="Arial" w:cs="Arial"/>
          <w:sz w:val="20"/>
        </w:rPr>
        <w:t>for more the 120 days (Outliers).   Reserved at 100% of cost.</w:t>
      </w:r>
    </w:p>
    <w:p w14:paraId="74A2FA38" w14:textId="4367AB45" w:rsidR="00DF7DFD" w:rsidRDefault="00F62BB8" w:rsidP="00B5048D">
      <w:pPr>
        <w:numPr>
          <w:ilvl w:val="0"/>
          <w:numId w:val="9"/>
        </w:numPr>
        <w:spacing w:line="0" w:lineRule="atLeast"/>
        <w:jc w:val="both"/>
        <w:rPr>
          <w:rFonts w:ascii="Arial" w:hAnsi="Arial" w:cs="Arial"/>
          <w:strike/>
          <w:sz w:val="20"/>
        </w:rPr>
      </w:pPr>
      <w:r>
        <w:rPr>
          <w:rFonts w:ascii="Arial" w:hAnsi="Arial" w:cs="Arial"/>
          <w:sz w:val="20"/>
        </w:rPr>
        <w:t xml:space="preserve">AHT Field Inventory is cycle counted continuously throughout the year. Any missing inventory is scrapped </w:t>
      </w:r>
      <w:r w:rsidR="006B22E3">
        <w:rPr>
          <w:rFonts w:ascii="Arial" w:hAnsi="Arial" w:cs="Arial"/>
          <w:sz w:val="20"/>
        </w:rPr>
        <w:t xml:space="preserve">or moved into a reconciliation account </w:t>
      </w:r>
      <w:r>
        <w:rPr>
          <w:rFonts w:ascii="Arial" w:hAnsi="Arial" w:cs="Arial"/>
          <w:sz w:val="20"/>
        </w:rPr>
        <w:t>when identified as such in the cycle count. All other AHT field inventory is reserved as outlined above.</w:t>
      </w:r>
    </w:p>
    <w:p w14:paraId="2B662F0E" w14:textId="77777777" w:rsidR="00DF7DFD" w:rsidRDefault="00F62BB8" w:rsidP="00B5048D">
      <w:pPr>
        <w:numPr>
          <w:ilvl w:val="0"/>
          <w:numId w:val="9"/>
        </w:numPr>
        <w:spacing w:line="0" w:lineRule="atLeast"/>
        <w:jc w:val="both"/>
        <w:rPr>
          <w:rFonts w:ascii="Arial" w:hAnsi="Arial" w:cs="Arial"/>
          <w:strike/>
          <w:sz w:val="20"/>
        </w:rPr>
      </w:pPr>
      <w:r>
        <w:rPr>
          <w:rFonts w:ascii="Arial" w:hAnsi="Arial" w:cs="Arial"/>
          <w:sz w:val="20"/>
        </w:rPr>
        <w:t xml:space="preserve">Surgical Inventory held by Hospitals and Distributors is cycle counted throughout the year. The reserve for these inventories is updated for all Surgical Field Inventories based on the extrapolated results of the ongoing cycle counting program. </w:t>
      </w:r>
    </w:p>
    <w:p w14:paraId="0A27F78B" w14:textId="77777777" w:rsidR="00DF7DFD" w:rsidRDefault="00DF7DFD" w:rsidP="00B5048D">
      <w:pPr>
        <w:spacing w:line="0" w:lineRule="atLeast"/>
        <w:jc w:val="both"/>
        <w:rPr>
          <w:rFonts w:ascii="Arial" w:hAnsi="Arial" w:cs="Arial"/>
          <w:sz w:val="20"/>
        </w:rPr>
      </w:pPr>
    </w:p>
    <w:p w14:paraId="624C5716" w14:textId="2A65A1D4" w:rsidR="0035720D" w:rsidRDefault="00F62BB8" w:rsidP="00B5048D">
      <w:pPr>
        <w:spacing w:line="0" w:lineRule="atLeast"/>
        <w:ind w:left="360"/>
        <w:jc w:val="both"/>
        <w:rPr>
          <w:rFonts w:ascii="Arial" w:hAnsi="Arial" w:cs="Arial"/>
          <w:sz w:val="20"/>
        </w:rPr>
      </w:pPr>
      <w:r>
        <w:rPr>
          <w:rFonts w:ascii="Arial" w:hAnsi="Arial" w:cs="Arial"/>
          <w:sz w:val="20"/>
        </w:rPr>
        <w:t>General inventory reserves for shrink should include the following:</w:t>
      </w:r>
    </w:p>
    <w:p w14:paraId="03A4609E" w14:textId="78FA5FBB" w:rsidR="0035720D" w:rsidRDefault="0035720D" w:rsidP="009D7A9F">
      <w:pPr>
        <w:pStyle w:val="ListParagraph"/>
        <w:numPr>
          <w:ilvl w:val="0"/>
          <w:numId w:val="80"/>
        </w:numPr>
        <w:rPr>
          <w:rFonts w:ascii="Arial" w:hAnsi="Arial" w:cs="Arial"/>
          <w:sz w:val="20"/>
          <w:szCs w:val="20"/>
        </w:rPr>
      </w:pPr>
      <w:r>
        <w:rPr>
          <w:rFonts w:ascii="Arial" w:hAnsi="Arial" w:cs="Arial"/>
          <w:sz w:val="20"/>
          <w:szCs w:val="20"/>
        </w:rPr>
        <w:t xml:space="preserve">All </w:t>
      </w:r>
      <w:r w:rsidRPr="006534BD">
        <w:rPr>
          <w:rFonts w:ascii="Arial" w:hAnsi="Arial" w:cs="Arial"/>
          <w:sz w:val="20"/>
          <w:szCs w:val="20"/>
        </w:rPr>
        <w:t xml:space="preserve">product inventories, exclusive of specifically identified </w:t>
      </w:r>
      <w:proofErr w:type="gramStart"/>
      <w:r w:rsidRPr="006534BD">
        <w:rPr>
          <w:rFonts w:ascii="Arial" w:hAnsi="Arial" w:cs="Arial"/>
          <w:sz w:val="20"/>
          <w:szCs w:val="20"/>
        </w:rPr>
        <w:t>product</w:t>
      </w:r>
      <w:proofErr w:type="gramEnd"/>
      <w:r w:rsidRPr="006534BD">
        <w:rPr>
          <w:rFonts w:ascii="Arial" w:hAnsi="Arial" w:cs="Arial"/>
          <w:sz w:val="20"/>
          <w:szCs w:val="20"/>
        </w:rPr>
        <w:t xml:space="preserve"> are </w:t>
      </w:r>
      <w:r>
        <w:rPr>
          <w:rFonts w:ascii="Arial" w:hAnsi="Arial" w:cs="Arial"/>
          <w:sz w:val="20"/>
          <w:szCs w:val="20"/>
        </w:rPr>
        <w:t xml:space="preserve">generally </w:t>
      </w:r>
      <w:r w:rsidRPr="006534BD">
        <w:rPr>
          <w:rFonts w:ascii="Arial" w:hAnsi="Arial" w:cs="Arial"/>
          <w:sz w:val="20"/>
          <w:szCs w:val="20"/>
        </w:rPr>
        <w:t>reserved at 1</w:t>
      </w:r>
      <w:r w:rsidR="006B22E3">
        <w:rPr>
          <w:rFonts w:ascii="Arial" w:hAnsi="Arial" w:cs="Arial"/>
          <w:sz w:val="20"/>
          <w:szCs w:val="20"/>
        </w:rPr>
        <w:t>.</w:t>
      </w:r>
      <w:r w:rsidRPr="006534BD">
        <w:rPr>
          <w:rFonts w:ascii="Arial" w:hAnsi="Arial" w:cs="Arial"/>
          <w:sz w:val="20"/>
          <w:szCs w:val="20"/>
        </w:rPr>
        <w:t>0% to 5.0% of cost based</w:t>
      </w:r>
      <w:r w:rsidRPr="006534BD">
        <w:rPr>
          <w:rFonts w:ascii="Arial" w:hAnsi="Arial" w:cs="Arial"/>
          <w:sz w:val="20"/>
        </w:rPr>
        <w:t xml:space="preserve"> on product type</w:t>
      </w:r>
      <w:r>
        <w:rPr>
          <w:rFonts w:ascii="Arial" w:hAnsi="Arial" w:cs="Arial"/>
          <w:sz w:val="20"/>
        </w:rPr>
        <w:t>.</w:t>
      </w:r>
    </w:p>
    <w:p w14:paraId="28D0DB5B" w14:textId="631EE85E" w:rsidR="00DF7DFD" w:rsidRDefault="00F62BB8" w:rsidP="00CE43D5">
      <w:pPr>
        <w:pStyle w:val="ListParagraph"/>
        <w:numPr>
          <w:ilvl w:val="0"/>
          <w:numId w:val="74"/>
        </w:numPr>
        <w:spacing w:line="0" w:lineRule="atLeast"/>
        <w:jc w:val="both"/>
        <w:rPr>
          <w:rFonts w:ascii="Arial" w:hAnsi="Arial" w:cs="Arial"/>
          <w:sz w:val="20"/>
        </w:rPr>
      </w:pPr>
      <w:r w:rsidRPr="009D7A9F">
        <w:rPr>
          <w:rFonts w:ascii="Arial" w:hAnsi="Arial" w:cs="Arial"/>
          <w:sz w:val="20"/>
        </w:rPr>
        <w:t xml:space="preserve">Raw Material inventory reserves for shrink and obsolescence are produced by reviewing raw materials to determine if a specific part or parts are nearing obsolescence, or if their respective finished good is declining or soon to be obsolescent. Reviews are conducted in conjunction with the </w:t>
      </w:r>
      <w:r w:rsidR="00977736" w:rsidRPr="009D7A9F">
        <w:rPr>
          <w:rFonts w:ascii="Arial" w:hAnsi="Arial" w:cs="Arial"/>
          <w:sz w:val="20"/>
        </w:rPr>
        <w:t>O</w:t>
      </w:r>
      <w:r w:rsidRPr="009D7A9F">
        <w:rPr>
          <w:rFonts w:ascii="Arial" w:hAnsi="Arial" w:cs="Arial"/>
          <w:sz w:val="20"/>
        </w:rPr>
        <w:t xml:space="preserve">perations team and the </w:t>
      </w:r>
      <w:r w:rsidR="00977736" w:rsidRPr="009D7A9F">
        <w:rPr>
          <w:rFonts w:ascii="Arial" w:hAnsi="Arial" w:cs="Arial"/>
          <w:sz w:val="20"/>
        </w:rPr>
        <w:t>M</w:t>
      </w:r>
      <w:r w:rsidRPr="009D7A9F">
        <w:rPr>
          <w:rFonts w:ascii="Arial" w:hAnsi="Arial" w:cs="Arial"/>
          <w:sz w:val="20"/>
        </w:rPr>
        <w:t xml:space="preserve">aterial </w:t>
      </w:r>
      <w:r w:rsidR="00977736" w:rsidRPr="009D7A9F">
        <w:rPr>
          <w:rFonts w:ascii="Arial" w:hAnsi="Arial" w:cs="Arial"/>
          <w:sz w:val="20"/>
        </w:rPr>
        <w:t>R</w:t>
      </w:r>
      <w:r w:rsidRPr="009D7A9F">
        <w:rPr>
          <w:rFonts w:ascii="Arial" w:hAnsi="Arial" w:cs="Arial"/>
          <w:sz w:val="20"/>
        </w:rPr>
        <w:t xml:space="preserve">eview </w:t>
      </w:r>
      <w:r w:rsidR="00977736" w:rsidRPr="009D7A9F">
        <w:rPr>
          <w:rFonts w:ascii="Arial" w:hAnsi="Arial" w:cs="Arial"/>
          <w:sz w:val="20"/>
        </w:rPr>
        <w:t>B</w:t>
      </w:r>
      <w:r w:rsidRPr="009D7A9F">
        <w:rPr>
          <w:rFonts w:ascii="Arial" w:hAnsi="Arial" w:cs="Arial"/>
          <w:sz w:val="20"/>
        </w:rPr>
        <w:t xml:space="preserve">oard.  </w:t>
      </w:r>
    </w:p>
    <w:p w14:paraId="751BA038" w14:textId="33C556B6" w:rsidR="0035720D" w:rsidRPr="009D7A9F" w:rsidRDefault="0035720D" w:rsidP="009D7A9F">
      <w:pPr>
        <w:pStyle w:val="ListParagraph"/>
        <w:numPr>
          <w:ilvl w:val="0"/>
          <w:numId w:val="74"/>
        </w:numPr>
        <w:spacing w:line="0" w:lineRule="atLeast"/>
        <w:jc w:val="both"/>
        <w:rPr>
          <w:rFonts w:ascii="Arial" w:hAnsi="Arial" w:cs="Arial"/>
          <w:sz w:val="20"/>
        </w:rPr>
      </w:pPr>
      <w:r>
        <w:rPr>
          <w:rFonts w:ascii="Arial" w:hAnsi="Arial" w:cs="Arial"/>
          <w:sz w:val="20"/>
        </w:rPr>
        <w:t>Slow</w:t>
      </w:r>
      <w:r w:rsidRPr="0035720D">
        <w:rPr>
          <w:rFonts w:ascii="Arial" w:hAnsi="Arial" w:cs="Arial"/>
          <w:sz w:val="20"/>
        </w:rPr>
        <w:t xml:space="preserve"> </w:t>
      </w:r>
      <w:r w:rsidRPr="006534BD">
        <w:rPr>
          <w:rFonts w:ascii="Arial" w:hAnsi="Arial" w:cs="Arial"/>
          <w:sz w:val="20"/>
        </w:rPr>
        <w:t xml:space="preserve">moving inventories include any inventory with </w:t>
      </w:r>
      <w:r w:rsidRPr="006534BD">
        <w:rPr>
          <w:rFonts w:ascii="Arial" w:hAnsi="Arial" w:cs="Arial"/>
          <w:sz w:val="20"/>
          <w:u w:val="single"/>
        </w:rPr>
        <w:t>no movement in over 2 years</w:t>
      </w:r>
      <w:r w:rsidRPr="006534BD">
        <w:rPr>
          <w:rFonts w:ascii="Arial" w:hAnsi="Arial" w:cs="Arial"/>
          <w:sz w:val="20"/>
        </w:rPr>
        <w:t xml:space="preserve"> and should be reserved at 100% of cost. </w:t>
      </w:r>
    </w:p>
    <w:p w14:paraId="35F3E8C6" w14:textId="38377415" w:rsidR="0035720D" w:rsidRPr="009D7A9F" w:rsidRDefault="0035720D" w:rsidP="009D7A9F">
      <w:pPr>
        <w:pStyle w:val="ListParagraph"/>
        <w:numPr>
          <w:ilvl w:val="0"/>
          <w:numId w:val="74"/>
        </w:numPr>
        <w:tabs>
          <w:tab w:val="left" w:pos="360"/>
        </w:tabs>
        <w:spacing w:line="0" w:lineRule="atLeast"/>
        <w:contextualSpacing/>
        <w:jc w:val="both"/>
        <w:rPr>
          <w:rFonts w:ascii="Arial" w:hAnsi="Arial" w:cs="Arial"/>
          <w:sz w:val="20"/>
        </w:rPr>
      </w:pPr>
      <w:r w:rsidRPr="009D7A9F">
        <w:rPr>
          <w:rFonts w:ascii="Arial" w:hAnsi="Arial" w:cs="Arial"/>
          <w:sz w:val="20"/>
        </w:rPr>
        <w:t xml:space="preserve">Changes in inventory reserves should be recorded in other </w:t>
      </w:r>
      <w:proofErr w:type="gramStart"/>
      <w:r w:rsidR="006B22E3">
        <w:rPr>
          <w:rFonts w:ascii="Arial" w:hAnsi="Arial" w:cs="Arial"/>
          <w:sz w:val="20"/>
        </w:rPr>
        <w:t>the inventory</w:t>
      </w:r>
      <w:proofErr w:type="gramEnd"/>
      <w:r w:rsidR="006B22E3">
        <w:rPr>
          <w:rFonts w:ascii="Arial" w:hAnsi="Arial" w:cs="Arial"/>
          <w:sz w:val="20"/>
        </w:rPr>
        <w:t xml:space="preserve"> reserves specific </w:t>
      </w:r>
      <w:proofErr w:type="gramStart"/>
      <w:r w:rsidR="006B22E3">
        <w:rPr>
          <w:rFonts w:ascii="Arial" w:hAnsi="Arial" w:cs="Arial"/>
          <w:sz w:val="20"/>
        </w:rPr>
        <w:t>account</w:t>
      </w:r>
      <w:proofErr w:type="gramEnd"/>
      <w:r w:rsidR="006B22E3">
        <w:rPr>
          <w:rFonts w:ascii="Arial" w:hAnsi="Arial" w:cs="Arial"/>
          <w:sz w:val="20"/>
        </w:rPr>
        <w:t>, 500011</w:t>
      </w:r>
      <w:r w:rsidRPr="009D7A9F">
        <w:rPr>
          <w:rFonts w:ascii="Arial" w:hAnsi="Arial" w:cs="Arial"/>
          <w:sz w:val="20"/>
        </w:rPr>
        <w:t xml:space="preserve">. </w:t>
      </w:r>
    </w:p>
    <w:p w14:paraId="48366CDF" w14:textId="77777777" w:rsidR="00DF7DFD" w:rsidRDefault="00DF7DFD" w:rsidP="009D7A9F">
      <w:pPr>
        <w:pStyle w:val="ListParagraph"/>
        <w:spacing w:line="0" w:lineRule="atLeast"/>
        <w:ind w:left="1080"/>
        <w:jc w:val="both"/>
        <w:rPr>
          <w:rFonts w:ascii="Arial" w:hAnsi="Arial" w:cs="Arial"/>
          <w:sz w:val="20"/>
        </w:rPr>
      </w:pPr>
    </w:p>
    <w:p w14:paraId="6AFB8C9D" w14:textId="6AF6AEF8" w:rsidR="00DF7DFD" w:rsidRDefault="00F62BB8" w:rsidP="00B5048D">
      <w:pPr>
        <w:pStyle w:val="Heading2"/>
        <w:tabs>
          <w:tab w:val="clear" w:pos="1440"/>
          <w:tab w:val="clear" w:pos="2880"/>
          <w:tab w:val="clear" w:pos="4395"/>
          <w:tab w:val="clear" w:pos="5760"/>
          <w:tab w:val="clear" w:pos="7560"/>
        </w:tabs>
        <w:spacing w:line="0" w:lineRule="atLeast"/>
        <w:ind w:left="360"/>
        <w:rPr>
          <w:rFonts w:ascii="Century Gothic" w:hAnsi="Century Gothic" w:cs="Arial"/>
          <w:bCs w:val="0"/>
          <w:sz w:val="20"/>
        </w:rPr>
      </w:pPr>
      <w:bookmarkStart w:id="44" w:name="_9.5_Product_Samples"/>
      <w:bookmarkEnd w:id="44"/>
      <w:r>
        <w:rPr>
          <w:rFonts w:ascii="Century Gothic" w:hAnsi="Century Gothic" w:cs="Arial"/>
          <w:bCs w:val="0"/>
          <w:sz w:val="20"/>
        </w:rPr>
        <w:t>9.</w:t>
      </w:r>
      <w:r w:rsidR="003F3CD5">
        <w:rPr>
          <w:rFonts w:ascii="Century Gothic" w:hAnsi="Century Gothic" w:cs="Arial"/>
          <w:bCs w:val="0"/>
          <w:sz w:val="20"/>
        </w:rPr>
        <w:t>6</w:t>
      </w:r>
      <w:r>
        <w:rPr>
          <w:rFonts w:ascii="Century Gothic" w:hAnsi="Century Gothic" w:cs="Arial"/>
          <w:bCs w:val="0"/>
          <w:sz w:val="20"/>
        </w:rPr>
        <w:t xml:space="preserve"> Product Samples and Free Product</w:t>
      </w:r>
    </w:p>
    <w:p w14:paraId="4F4E4890" w14:textId="784A1740" w:rsidR="00DF7DFD" w:rsidRDefault="00F62BB8" w:rsidP="00B5048D">
      <w:pPr>
        <w:ind w:left="360"/>
        <w:rPr>
          <w:rFonts w:ascii="Arial" w:hAnsi="Arial" w:cs="Arial"/>
          <w:sz w:val="20"/>
        </w:rPr>
      </w:pPr>
      <w:r>
        <w:rPr>
          <w:rFonts w:ascii="Arial" w:hAnsi="Arial" w:cs="Arial"/>
          <w:sz w:val="20"/>
        </w:rPr>
        <w:t xml:space="preserve">In limited circumstances inventory is provided at no charge to a customer. Depending on the scenario, the cost of the unbilled product may be recorded to COS or SG&amp;A.  Below is a recap of the proper expense classification by scenario: </w:t>
      </w:r>
    </w:p>
    <w:p w14:paraId="057AEC36" w14:textId="77777777" w:rsidR="0035720D" w:rsidRDefault="0035720D" w:rsidP="00B5048D">
      <w:pPr>
        <w:ind w:left="360"/>
        <w:rPr>
          <w:rFonts w:ascii="Arial" w:hAnsi="Arial" w:cs="Arial"/>
          <w:sz w:val="20"/>
        </w:rPr>
      </w:pPr>
    </w:p>
    <w:tbl>
      <w:tblPr>
        <w:tblStyle w:val="GridTable4-Accent1"/>
        <w:tblW w:w="9450" w:type="dxa"/>
        <w:tblInd w:w="355" w:type="dxa"/>
        <w:tblLook w:val="04A0" w:firstRow="1" w:lastRow="0" w:firstColumn="1" w:lastColumn="0" w:noHBand="0" w:noVBand="1"/>
      </w:tblPr>
      <w:tblGrid>
        <w:gridCol w:w="2340"/>
        <w:gridCol w:w="5220"/>
        <w:gridCol w:w="1890"/>
      </w:tblGrid>
      <w:tr w:rsidR="00DF7DFD" w14:paraId="22B06D28" w14:textId="77777777" w:rsidTr="00B50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B3F1F90" w14:textId="7850F4DA" w:rsidR="00DF7DFD" w:rsidRPr="00393CBC" w:rsidRDefault="004268BA">
            <w:pPr>
              <w:jc w:val="center"/>
              <w:rPr>
                <w:rFonts w:ascii="Arial" w:hAnsi="Arial" w:cs="Arial"/>
                <w:color w:val="auto"/>
                <w:sz w:val="20"/>
              </w:rPr>
            </w:pPr>
            <w:r>
              <w:rPr>
                <w:rFonts w:ascii="Arial" w:hAnsi="Arial" w:cs="Arial"/>
                <w:sz w:val="20"/>
              </w:rPr>
              <w:br w:type="page"/>
            </w:r>
            <w:r w:rsidR="00F62BB8" w:rsidRPr="00393CBC">
              <w:rPr>
                <w:rFonts w:ascii="Arial" w:hAnsi="Arial" w:cs="Arial"/>
                <w:color w:val="auto"/>
                <w:sz w:val="20"/>
              </w:rPr>
              <w:t>Scenario</w:t>
            </w:r>
          </w:p>
        </w:tc>
        <w:tc>
          <w:tcPr>
            <w:tcW w:w="5220" w:type="dxa"/>
          </w:tcPr>
          <w:p w14:paraId="1FAAB580" w14:textId="77777777" w:rsidR="00DF7DFD" w:rsidRPr="00393CBC" w:rsidRDefault="00F62BB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393CBC">
              <w:rPr>
                <w:rFonts w:ascii="Arial" w:hAnsi="Arial" w:cs="Arial"/>
                <w:color w:val="auto"/>
                <w:sz w:val="20"/>
              </w:rPr>
              <w:t>Description</w:t>
            </w:r>
          </w:p>
        </w:tc>
        <w:tc>
          <w:tcPr>
            <w:tcW w:w="1890" w:type="dxa"/>
          </w:tcPr>
          <w:p w14:paraId="7301AF56" w14:textId="77777777" w:rsidR="00DF7DFD" w:rsidRPr="00393CBC" w:rsidRDefault="00F62BB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393CBC">
              <w:rPr>
                <w:rFonts w:ascii="Arial" w:hAnsi="Arial" w:cs="Arial"/>
                <w:color w:val="auto"/>
                <w:sz w:val="20"/>
              </w:rPr>
              <w:t>Expense Classification</w:t>
            </w:r>
          </w:p>
        </w:tc>
      </w:tr>
      <w:tr w:rsidR="00DF7DFD" w14:paraId="7A49C383" w14:textId="77777777" w:rsidTr="00B50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5585532" w14:textId="77777777" w:rsidR="00DF7DFD" w:rsidRDefault="00F62BB8">
            <w:pPr>
              <w:rPr>
                <w:rFonts w:ascii="Arial" w:hAnsi="Arial" w:cs="Arial"/>
                <w:b w:val="0"/>
                <w:sz w:val="20"/>
              </w:rPr>
            </w:pPr>
            <w:r>
              <w:rPr>
                <w:rFonts w:ascii="Arial" w:hAnsi="Arial" w:cs="Arial"/>
                <w:b w:val="0"/>
                <w:sz w:val="20"/>
              </w:rPr>
              <w:t xml:space="preserve">Scenario 1- Free product for demonstration or evaluation </w:t>
            </w:r>
          </w:p>
        </w:tc>
        <w:tc>
          <w:tcPr>
            <w:tcW w:w="5220" w:type="dxa"/>
          </w:tcPr>
          <w:p w14:paraId="08C94BD0" w14:textId="77777777" w:rsidR="00DF7DFD" w:rsidRDefault="00F62B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Provided to physician or clinic for demonstration (e.g., HA product not injected in patient) or evaluation (e.g., HA product injected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patient</w:t>
            </w:r>
            <w:proofErr w:type="gramEnd"/>
            <w:r>
              <w:rPr>
                <w:rFonts w:ascii="Arial" w:hAnsi="Arial" w:cs="Arial"/>
                <w:sz w:val="20"/>
              </w:rPr>
              <w:t xml:space="preserve"> but patient and/or third-party payor cannot be billed) purposes only.</w:t>
            </w:r>
          </w:p>
        </w:tc>
        <w:tc>
          <w:tcPr>
            <w:tcW w:w="1890" w:type="dxa"/>
          </w:tcPr>
          <w:p w14:paraId="2D6E2C93" w14:textId="77777777" w:rsidR="00DF7DFD" w:rsidRDefault="00F62B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SG&amp;A*</w:t>
            </w:r>
          </w:p>
          <w:p w14:paraId="76B0DE36" w14:textId="374D5E21" w:rsidR="00DF7DFD" w:rsidRDefault="00F62B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5720D">
              <w:rPr>
                <w:rFonts w:ascii="Arial" w:hAnsi="Arial" w:cs="Arial"/>
                <w:sz w:val="20"/>
              </w:rPr>
              <w:t>(</w:t>
            </w:r>
            <w:r w:rsidR="004D48FD" w:rsidRPr="0035720D">
              <w:rPr>
                <w:rFonts w:ascii="Arial" w:hAnsi="Arial" w:cs="Arial"/>
                <w:sz w:val="20"/>
              </w:rPr>
              <w:t xml:space="preserve">G/L </w:t>
            </w:r>
            <w:proofErr w:type="gramStart"/>
            <w:r w:rsidR="00C55DA8" w:rsidRPr="0035720D">
              <w:rPr>
                <w:rFonts w:ascii="Arial" w:hAnsi="Arial" w:cs="Arial"/>
                <w:sz w:val="20"/>
              </w:rPr>
              <w:t>account</w:t>
            </w:r>
            <w:proofErr w:type="gramEnd"/>
            <w:r w:rsidR="00C55DA8" w:rsidRPr="0035720D">
              <w:rPr>
                <w:rFonts w:ascii="Arial" w:hAnsi="Arial" w:cs="Arial"/>
                <w:sz w:val="20"/>
              </w:rPr>
              <w:t xml:space="preserve"> </w:t>
            </w:r>
            <w:r w:rsidR="00C55DA8" w:rsidRPr="0035720D">
              <w:rPr>
                <w:rFonts w:ascii="Arial" w:hAnsi="Arial"/>
                <w:sz w:val="20"/>
              </w:rPr>
              <w:t>6</w:t>
            </w:r>
            <w:r w:rsidRPr="0035720D">
              <w:rPr>
                <w:rFonts w:ascii="Arial" w:hAnsi="Arial"/>
                <w:sz w:val="20"/>
              </w:rPr>
              <w:t>50005</w:t>
            </w:r>
            <w:r w:rsidRPr="0035720D">
              <w:rPr>
                <w:rFonts w:ascii="Arial" w:hAnsi="Arial" w:cs="Arial"/>
                <w:sz w:val="20"/>
              </w:rPr>
              <w:t>-</w:t>
            </w:r>
            <w:r>
              <w:rPr>
                <w:rFonts w:ascii="Arial" w:hAnsi="Arial" w:cs="Arial"/>
                <w:sz w:val="20"/>
              </w:rPr>
              <w:t xml:space="preserve"> Unbilled unit expense)</w:t>
            </w:r>
          </w:p>
        </w:tc>
      </w:tr>
      <w:tr w:rsidR="00DF7DFD" w14:paraId="5E7D4F26" w14:textId="77777777" w:rsidTr="00B5048D">
        <w:tc>
          <w:tcPr>
            <w:cnfStyle w:val="001000000000" w:firstRow="0" w:lastRow="0" w:firstColumn="1" w:lastColumn="0" w:oddVBand="0" w:evenVBand="0" w:oddHBand="0" w:evenHBand="0" w:firstRowFirstColumn="0" w:firstRowLastColumn="0" w:lastRowFirstColumn="0" w:lastRowLastColumn="0"/>
            <w:tcW w:w="2340" w:type="dxa"/>
          </w:tcPr>
          <w:p w14:paraId="7ADE6934" w14:textId="77777777" w:rsidR="00DF7DFD" w:rsidRDefault="00F62BB8">
            <w:pPr>
              <w:rPr>
                <w:rFonts w:ascii="Arial" w:hAnsi="Arial" w:cs="Arial"/>
                <w:b w:val="0"/>
                <w:sz w:val="20"/>
              </w:rPr>
            </w:pPr>
            <w:r>
              <w:rPr>
                <w:rFonts w:ascii="Arial" w:hAnsi="Arial" w:cs="Arial"/>
                <w:b w:val="0"/>
                <w:sz w:val="20"/>
              </w:rPr>
              <w:t>Scenario 2- Free product included in a revenue transaction</w:t>
            </w:r>
          </w:p>
        </w:tc>
        <w:tc>
          <w:tcPr>
            <w:tcW w:w="5220" w:type="dxa"/>
          </w:tcPr>
          <w:p w14:paraId="4176F065" w14:textId="77777777" w:rsidR="00DF7DFD" w:rsidRDefault="00F62BB8">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Provided as a part of a multiple-unit sales transaction (e.g., clinic purchases 10 units and receives 2 units at no charge).</w:t>
            </w:r>
          </w:p>
        </w:tc>
        <w:tc>
          <w:tcPr>
            <w:tcW w:w="1890" w:type="dxa"/>
          </w:tcPr>
          <w:p w14:paraId="0AF119F4" w14:textId="77777777" w:rsidR="00DF7DFD" w:rsidRDefault="00F62BB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COS*</w:t>
            </w:r>
          </w:p>
        </w:tc>
      </w:tr>
      <w:tr w:rsidR="00DF7DFD" w14:paraId="44B53E1D" w14:textId="77777777" w:rsidTr="00B504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85256C6" w14:textId="77777777" w:rsidR="00DF7DFD" w:rsidRDefault="00F62BB8">
            <w:pPr>
              <w:rPr>
                <w:rFonts w:ascii="Arial" w:hAnsi="Arial" w:cs="Arial"/>
                <w:b w:val="0"/>
                <w:sz w:val="20"/>
              </w:rPr>
            </w:pPr>
            <w:r>
              <w:rPr>
                <w:rFonts w:ascii="Arial" w:hAnsi="Arial" w:cs="Arial"/>
                <w:b w:val="0"/>
                <w:sz w:val="20"/>
              </w:rPr>
              <w:t>Scenario 3- Free product provided under Patient Assistance Program (PAP units) or Exogen PASS units</w:t>
            </w:r>
          </w:p>
        </w:tc>
        <w:tc>
          <w:tcPr>
            <w:tcW w:w="5220" w:type="dxa"/>
          </w:tcPr>
          <w:p w14:paraId="59D7A7F8" w14:textId="2E20F521" w:rsidR="00DF7DFD" w:rsidRDefault="00F62BB8">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Provided to doctor, clinic or patient at no charge under the Company’s patient assistance program (</w:t>
            </w:r>
            <w:r w:rsidR="0035720D">
              <w:rPr>
                <w:rFonts w:ascii="Arial" w:hAnsi="Arial" w:cs="Arial"/>
                <w:sz w:val="20"/>
              </w:rPr>
              <w:t>PAP) and</w:t>
            </w:r>
            <w:r>
              <w:rPr>
                <w:rFonts w:ascii="Arial" w:hAnsi="Arial" w:cs="Arial"/>
                <w:sz w:val="20"/>
              </w:rPr>
              <w:t xml:space="preserve"> not associated with any specific sale transaction; Also includes Exogen units provided at no charge to patients (aka "PASS" units) that do not qualify under PAP program (subject to Director of Sales approval and limited use).</w:t>
            </w:r>
          </w:p>
        </w:tc>
        <w:tc>
          <w:tcPr>
            <w:tcW w:w="1890" w:type="dxa"/>
          </w:tcPr>
          <w:p w14:paraId="4153BE38" w14:textId="77777777" w:rsidR="00DF7DFD" w:rsidRDefault="00F62B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COS*</w:t>
            </w:r>
          </w:p>
        </w:tc>
      </w:tr>
    </w:tbl>
    <w:p w14:paraId="014747A3" w14:textId="11FE847C" w:rsidR="00DF7DFD" w:rsidRDefault="00F62BB8" w:rsidP="000752C0">
      <w:pPr>
        <w:ind w:left="360"/>
        <w:rPr>
          <w:rFonts w:ascii="Arial" w:hAnsi="Arial" w:cs="Arial"/>
          <w:i/>
          <w:sz w:val="20"/>
        </w:rPr>
      </w:pPr>
      <w:r>
        <w:rPr>
          <w:rFonts w:ascii="Arial" w:hAnsi="Arial" w:cs="Arial"/>
          <w:sz w:val="20"/>
        </w:rPr>
        <w:t xml:space="preserve"> </w:t>
      </w:r>
      <w:r>
        <w:rPr>
          <w:rFonts w:ascii="Arial" w:hAnsi="Arial" w:cs="Arial"/>
          <w:i/>
          <w:sz w:val="20"/>
        </w:rPr>
        <w:t>*</w:t>
      </w:r>
      <w:proofErr w:type="gramStart"/>
      <w:r>
        <w:rPr>
          <w:rFonts w:ascii="Arial" w:hAnsi="Arial" w:cs="Arial"/>
          <w:i/>
          <w:sz w:val="20"/>
        </w:rPr>
        <w:t>Net</w:t>
      </w:r>
      <w:proofErr w:type="gramEnd"/>
      <w:r>
        <w:rPr>
          <w:rFonts w:ascii="Arial" w:hAnsi="Arial" w:cs="Arial"/>
          <w:i/>
          <w:sz w:val="20"/>
        </w:rPr>
        <w:t xml:space="preserve"> of any reimbursement expected from the supplier to Bioventus.</w:t>
      </w:r>
    </w:p>
    <w:p w14:paraId="6C2D44B0" w14:textId="77777777" w:rsidR="00915D31" w:rsidRDefault="00915D31" w:rsidP="00FC279A">
      <w:pPr>
        <w:ind w:left="360"/>
        <w:rPr>
          <w:rFonts w:ascii="Arial" w:hAnsi="Arial" w:cs="Arial"/>
          <w:sz w:val="20"/>
        </w:rPr>
      </w:pPr>
    </w:p>
    <w:p w14:paraId="0EFAC512" w14:textId="426645B1" w:rsidR="006B22E3" w:rsidRDefault="006B22E3" w:rsidP="006B22E3">
      <w:pPr>
        <w:pStyle w:val="Heading2"/>
        <w:tabs>
          <w:tab w:val="clear" w:pos="1440"/>
          <w:tab w:val="clear" w:pos="2880"/>
          <w:tab w:val="clear" w:pos="4395"/>
          <w:tab w:val="clear" w:pos="5760"/>
          <w:tab w:val="clear" w:pos="7560"/>
        </w:tabs>
        <w:spacing w:line="0" w:lineRule="atLeast"/>
        <w:ind w:left="360"/>
        <w:rPr>
          <w:rFonts w:ascii="Century Gothic" w:hAnsi="Century Gothic" w:cs="Arial"/>
          <w:bCs w:val="0"/>
          <w:sz w:val="20"/>
        </w:rPr>
      </w:pPr>
      <w:r>
        <w:rPr>
          <w:rFonts w:ascii="Century Gothic" w:hAnsi="Century Gothic" w:cs="Arial"/>
          <w:bCs w:val="0"/>
          <w:sz w:val="20"/>
        </w:rPr>
        <w:t xml:space="preserve">9.7 Inventory Write-off and </w:t>
      </w:r>
      <w:r w:rsidR="002526D6">
        <w:rPr>
          <w:rFonts w:ascii="Century Gothic" w:hAnsi="Century Gothic" w:cs="Arial"/>
          <w:bCs w:val="0"/>
          <w:sz w:val="20"/>
        </w:rPr>
        <w:t>Physical Count Adjustments</w:t>
      </w:r>
      <w:r>
        <w:rPr>
          <w:rFonts w:ascii="Century Gothic" w:hAnsi="Century Gothic" w:cs="Arial"/>
          <w:bCs w:val="0"/>
          <w:sz w:val="20"/>
        </w:rPr>
        <w:t xml:space="preserve"> Approval Limits</w:t>
      </w:r>
    </w:p>
    <w:p w14:paraId="260228D0" w14:textId="034288B2" w:rsidR="006B22E3" w:rsidRDefault="006B22E3" w:rsidP="006B22E3">
      <w:pPr>
        <w:ind w:left="360"/>
        <w:rPr>
          <w:rFonts w:ascii="Arial" w:hAnsi="Arial" w:cs="Arial"/>
          <w:sz w:val="20"/>
        </w:rPr>
      </w:pPr>
    </w:p>
    <w:p w14:paraId="10372C5F" w14:textId="688C6646" w:rsidR="00A00B39" w:rsidRPr="009A1167" w:rsidRDefault="00A00B39" w:rsidP="009A1167">
      <w:pPr>
        <w:ind w:left="360"/>
        <w:rPr>
          <w:rFonts w:ascii="Arial" w:hAnsi="Arial" w:cs="Arial"/>
          <w:sz w:val="20"/>
        </w:rPr>
      </w:pPr>
      <w:r w:rsidRPr="009A1167">
        <w:rPr>
          <w:rFonts w:ascii="Arial" w:hAnsi="Arial" w:cs="Arial"/>
          <w:sz w:val="20"/>
        </w:rPr>
        <w:t xml:space="preserve">Below are the approval limits for an inventory write-off or </w:t>
      </w:r>
      <w:r w:rsidR="002526D6">
        <w:rPr>
          <w:rFonts w:ascii="Arial" w:hAnsi="Arial" w:cs="Arial"/>
          <w:sz w:val="20"/>
        </w:rPr>
        <w:t>an adjustment resulting from a Physical Count</w:t>
      </w:r>
      <w:r w:rsidRPr="009A1167">
        <w:rPr>
          <w:rFonts w:ascii="Arial" w:hAnsi="Arial" w:cs="Arial"/>
          <w:sz w:val="20"/>
        </w:rPr>
        <w:t>.</w:t>
      </w:r>
    </w:p>
    <w:p w14:paraId="2FADE03A" w14:textId="77777777" w:rsidR="00A00B39" w:rsidRPr="009A1167" w:rsidRDefault="00A00B39" w:rsidP="009A1167">
      <w:pPr>
        <w:ind w:left="360"/>
        <w:rPr>
          <w:rFonts w:ascii="Arial" w:hAnsi="Arial" w:cs="Arial"/>
          <w:sz w:val="20"/>
        </w:rPr>
      </w:pPr>
    </w:p>
    <w:p w14:paraId="3C7FCEE3" w14:textId="0E92FBA8" w:rsidR="00A00B39" w:rsidRPr="009A1167" w:rsidRDefault="00296083" w:rsidP="009A1167">
      <w:pPr>
        <w:ind w:left="360"/>
        <w:rPr>
          <w:rFonts w:ascii="Arial" w:hAnsi="Arial" w:cs="Arial"/>
          <w:sz w:val="20"/>
        </w:rPr>
      </w:pPr>
      <w:r w:rsidRPr="0009686A">
        <w:rPr>
          <w:rFonts w:ascii="Arial" w:hAnsi="Arial" w:cs="Arial"/>
          <w:sz w:val="20"/>
        </w:rPr>
        <w:object w:dxaOrig="6930" w:dyaOrig="4380" w14:anchorId="60895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180.55pt" o:ole="">
            <v:imagedata r:id="rId12" o:title=""/>
          </v:shape>
          <o:OLEObject Type="Link" ProgID="Excel.Sheet.12" ShapeID="_x0000_i1025" DrawAspect="Content" r:id="rId13" UpdateMode="Always">
            <o:LinkType>EnhancedMetaFile</o:LinkType>
            <o:LockedField>false</o:LockedField>
            <o:FieldCodes>\* MERGEFORMAT</o:FieldCodes>
          </o:OLEObject>
        </w:object>
      </w:r>
    </w:p>
    <w:p w14:paraId="0E30AEB0" w14:textId="77777777" w:rsidR="00A00B39" w:rsidRPr="00A00B39" w:rsidRDefault="00A00B39" w:rsidP="009A1167">
      <w:pPr>
        <w:ind w:left="360"/>
        <w:rPr>
          <w:rFonts w:ascii="Arial" w:hAnsi="Arial" w:cs="Arial"/>
          <w:sz w:val="20"/>
        </w:rPr>
      </w:pPr>
    </w:p>
    <w:p w14:paraId="7CAA4FB4" w14:textId="77777777" w:rsidR="00A00B39" w:rsidRPr="00A00B39" w:rsidRDefault="00A00B39" w:rsidP="009A1167">
      <w:pPr>
        <w:ind w:left="360"/>
        <w:rPr>
          <w:rFonts w:ascii="Arial" w:hAnsi="Arial" w:cs="Arial"/>
          <w:sz w:val="20"/>
        </w:rPr>
      </w:pPr>
    </w:p>
    <w:p w14:paraId="2CC0AE51" w14:textId="77777777" w:rsidR="00A00B39" w:rsidRDefault="00A00B39" w:rsidP="00A00B39">
      <w:pPr>
        <w:ind w:left="360"/>
        <w:rPr>
          <w:rFonts w:ascii="Arial" w:hAnsi="Arial" w:cs="Arial"/>
          <w:sz w:val="20"/>
        </w:rPr>
      </w:pPr>
      <w:r w:rsidRPr="00A00B39">
        <w:rPr>
          <w:rFonts w:ascii="Arial" w:hAnsi="Arial" w:cs="Arial"/>
          <w:sz w:val="20"/>
        </w:rPr>
        <w:t>Note: Both Adjustment through IDOC and IDOC exception require approvals per the approval Matrix and all parties must be copied when approvals are requested.</w:t>
      </w:r>
    </w:p>
    <w:p w14:paraId="6B6994C8" w14:textId="77777777" w:rsidR="003546AC" w:rsidRPr="00A00B39" w:rsidRDefault="003546AC" w:rsidP="009A1167">
      <w:pPr>
        <w:ind w:left="360"/>
        <w:rPr>
          <w:rFonts w:ascii="Arial" w:hAnsi="Arial" w:cs="Arial"/>
          <w:sz w:val="20"/>
        </w:rPr>
      </w:pPr>
    </w:p>
    <w:p w14:paraId="76EC3210" w14:textId="77777777" w:rsidR="00A00B39" w:rsidRPr="00A00B39" w:rsidRDefault="00A00B39" w:rsidP="009A1167">
      <w:pPr>
        <w:pStyle w:val="ListParagraph"/>
        <w:numPr>
          <w:ilvl w:val="0"/>
          <w:numId w:val="88"/>
        </w:numPr>
        <w:spacing w:after="160" w:line="259" w:lineRule="auto"/>
        <w:ind w:left="720"/>
        <w:contextualSpacing/>
        <w:rPr>
          <w:rFonts w:ascii="Arial" w:hAnsi="Arial" w:cs="Arial"/>
          <w:b/>
          <w:bCs/>
          <w:sz w:val="20"/>
          <w:szCs w:val="20"/>
        </w:rPr>
      </w:pPr>
      <w:r w:rsidRPr="00A00B39">
        <w:rPr>
          <w:rFonts w:ascii="Arial" w:hAnsi="Arial" w:cs="Arial"/>
          <w:b/>
          <w:bCs/>
          <w:sz w:val="20"/>
          <w:szCs w:val="20"/>
        </w:rPr>
        <w:t>Require IDOC Adjustment Process (MI01, MI04, MI06, MI07)</w:t>
      </w:r>
    </w:p>
    <w:p w14:paraId="5E498B71" w14:textId="77777777" w:rsidR="00A00B39" w:rsidRPr="00A00B39" w:rsidRDefault="00A00B39" w:rsidP="009A1167">
      <w:pPr>
        <w:pStyle w:val="ListParagraph"/>
        <w:rPr>
          <w:rFonts w:ascii="Arial" w:hAnsi="Arial" w:cs="Arial"/>
          <w:sz w:val="20"/>
          <w:szCs w:val="20"/>
        </w:rPr>
      </w:pPr>
    </w:p>
    <w:p w14:paraId="4677632A" w14:textId="77777777" w:rsidR="00A00B39" w:rsidRPr="00A00B39" w:rsidRDefault="00A00B39" w:rsidP="009A1167">
      <w:pPr>
        <w:pStyle w:val="ListParagraph"/>
        <w:numPr>
          <w:ilvl w:val="0"/>
          <w:numId w:val="86"/>
        </w:numPr>
        <w:spacing w:after="160" w:line="259" w:lineRule="auto"/>
        <w:ind w:left="720"/>
        <w:contextualSpacing/>
        <w:rPr>
          <w:rFonts w:ascii="Arial" w:hAnsi="Arial" w:cs="Arial"/>
          <w:sz w:val="20"/>
          <w:szCs w:val="20"/>
        </w:rPr>
      </w:pPr>
      <w:r w:rsidRPr="00A00B39">
        <w:rPr>
          <w:rFonts w:ascii="Arial" w:hAnsi="Arial" w:cs="Arial"/>
          <w:sz w:val="20"/>
          <w:szCs w:val="20"/>
        </w:rPr>
        <w:t xml:space="preserve">Wall to Wall Physical Inventory Discrepancies: Adjustments based on physical counts that reveal discrepancies due to clerical errors or system inaccuracies. </w:t>
      </w:r>
    </w:p>
    <w:p w14:paraId="6D24186C" w14:textId="77777777" w:rsidR="00A00B39" w:rsidRPr="00A00B39" w:rsidRDefault="00A00B39" w:rsidP="009A1167">
      <w:pPr>
        <w:pStyle w:val="ListParagraph"/>
        <w:numPr>
          <w:ilvl w:val="0"/>
          <w:numId w:val="86"/>
        </w:numPr>
        <w:spacing w:after="160" w:line="259" w:lineRule="auto"/>
        <w:ind w:left="720"/>
        <w:contextualSpacing/>
        <w:rPr>
          <w:rFonts w:ascii="Arial" w:hAnsi="Arial" w:cs="Arial"/>
          <w:sz w:val="20"/>
          <w:szCs w:val="20"/>
        </w:rPr>
      </w:pPr>
      <w:r w:rsidRPr="00A00B39">
        <w:rPr>
          <w:rFonts w:ascii="Arial" w:hAnsi="Arial" w:cs="Arial"/>
          <w:sz w:val="20"/>
          <w:szCs w:val="20"/>
        </w:rPr>
        <w:t xml:space="preserve">Zone Physical Inventory Discrepancies: Adjustments based on physical counts that reveal discrepancies due to clerical errors or system inaccuracies. </w:t>
      </w:r>
    </w:p>
    <w:p w14:paraId="1CC9E318" w14:textId="77777777" w:rsidR="00A00B39" w:rsidRPr="00A00B39" w:rsidRDefault="00A00B39" w:rsidP="009A1167">
      <w:pPr>
        <w:pStyle w:val="ListParagraph"/>
        <w:numPr>
          <w:ilvl w:val="0"/>
          <w:numId w:val="86"/>
        </w:numPr>
        <w:spacing w:after="160" w:line="259" w:lineRule="auto"/>
        <w:ind w:left="720"/>
        <w:contextualSpacing/>
        <w:rPr>
          <w:rFonts w:ascii="Arial" w:hAnsi="Arial" w:cs="Arial"/>
          <w:sz w:val="20"/>
          <w:szCs w:val="20"/>
        </w:rPr>
      </w:pPr>
      <w:r w:rsidRPr="00A00B39">
        <w:rPr>
          <w:rFonts w:ascii="Arial" w:hAnsi="Arial" w:cs="Arial"/>
          <w:sz w:val="20"/>
          <w:szCs w:val="20"/>
        </w:rPr>
        <w:t xml:space="preserve">Cycle Count Discrepancies: Adjustments based on cycle counts that reveal discrepancies due to clerical errors or system inaccuracies. </w:t>
      </w:r>
    </w:p>
    <w:p w14:paraId="0819CCF0" w14:textId="77777777" w:rsidR="00A00B39" w:rsidRPr="00A00B39" w:rsidRDefault="00A00B39" w:rsidP="009A1167">
      <w:pPr>
        <w:pStyle w:val="ListParagraph"/>
        <w:numPr>
          <w:ilvl w:val="0"/>
          <w:numId w:val="86"/>
        </w:numPr>
        <w:spacing w:after="160" w:line="259" w:lineRule="auto"/>
        <w:ind w:left="720"/>
        <w:contextualSpacing/>
        <w:rPr>
          <w:rFonts w:ascii="Arial" w:hAnsi="Arial" w:cs="Arial"/>
          <w:sz w:val="20"/>
          <w:szCs w:val="20"/>
        </w:rPr>
      </w:pPr>
      <w:r w:rsidRPr="00A00B39">
        <w:rPr>
          <w:rFonts w:ascii="Arial" w:hAnsi="Arial" w:cs="Arial"/>
          <w:sz w:val="20"/>
          <w:szCs w:val="20"/>
        </w:rPr>
        <w:t xml:space="preserve">Miscounts from Previous Counts: Adjustments made to correct discrepancies found from prior inventory counts. </w:t>
      </w:r>
    </w:p>
    <w:p w14:paraId="60D7D606" w14:textId="77777777" w:rsidR="00A00B39" w:rsidRPr="00A00B39" w:rsidRDefault="00A00B39" w:rsidP="009A1167">
      <w:pPr>
        <w:ind w:left="720"/>
        <w:rPr>
          <w:rFonts w:ascii="Arial" w:hAnsi="Arial" w:cs="Arial"/>
          <w:sz w:val="20"/>
        </w:rPr>
      </w:pPr>
      <w:r w:rsidRPr="00A00B39">
        <w:rPr>
          <w:rFonts w:ascii="Arial" w:hAnsi="Arial" w:cs="Arial"/>
          <w:sz w:val="20"/>
        </w:rPr>
        <w:t xml:space="preserve">Cycle count adjustments will be on a weekly basis. </w:t>
      </w:r>
    </w:p>
    <w:p w14:paraId="533A7EEB" w14:textId="77777777" w:rsidR="00A00B39" w:rsidRPr="00A00B39" w:rsidRDefault="00A00B39" w:rsidP="009A1167">
      <w:pPr>
        <w:ind w:left="720"/>
        <w:rPr>
          <w:rFonts w:ascii="Arial" w:hAnsi="Arial" w:cs="Arial"/>
          <w:sz w:val="20"/>
        </w:rPr>
      </w:pPr>
      <w:r w:rsidRPr="00A00B39">
        <w:rPr>
          <w:rFonts w:ascii="Arial" w:hAnsi="Arial" w:cs="Arial"/>
          <w:sz w:val="20"/>
        </w:rPr>
        <w:t>Physical Inventory is once a year.</w:t>
      </w:r>
    </w:p>
    <w:p w14:paraId="0623D5F1" w14:textId="77777777" w:rsidR="00A00B39" w:rsidRPr="00A00B39" w:rsidRDefault="00A00B39" w:rsidP="009A1167">
      <w:pPr>
        <w:ind w:left="720"/>
        <w:rPr>
          <w:rFonts w:ascii="Arial" w:hAnsi="Arial" w:cs="Arial"/>
          <w:sz w:val="20"/>
        </w:rPr>
      </w:pPr>
    </w:p>
    <w:p w14:paraId="27D3267D" w14:textId="77777777" w:rsidR="00A00B39" w:rsidRPr="00A00B39" w:rsidRDefault="00A00B39" w:rsidP="009A1167">
      <w:pPr>
        <w:pStyle w:val="ListParagraph"/>
        <w:numPr>
          <w:ilvl w:val="0"/>
          <w:numId w:val="88"/>
        </w:numPr>
        <w:spacing w:after="160" w:line="259" w:lineRule="auto"/>
        <w:ind w:left="720"/>
        <w:contextualSpacing/>
        <w:rPr>
          <w:rFonts w:ascii="Arial" w:hAnsi="Arial" w:cs="Arial"/>
          <w:b/>
          <w:bCs/>
          <w:sz w:val="20"/>
          <w:szCs w:val="20"/>
        </w:rPr>
      </w:pPr>
      <w:r w:rsidRPr="00A00B39">
        <w:rPr>
          <w:rFonts w:ascii="Arial" w:hAnsi="Arial" w:cs="Arial"/>
          <w:b/>
          <w:bCs/>
          <w:sz w:val="20"/>
          <w:szCs w:val="20"/>
        </w:rPr>
        <w:t>Exceptions to IDOC Adjustment Process</w:t>
      </w:r>
    </w:p>
    <w:p w14:paraId="6A785C21" w14:textId="77777777" w:rsidR="00A00B39" w:rsidRPr="00A00B39" w:rsidRDefault="00A00B39" w:rsidP="009A1167">
      <w:pPr>
        <w:pStyle w:val="ListParagraph"/>
        <w:rPr>
          <w:rFonts w:ascii="Arial" w:hAnsi="Arial" w:cs="Arial"/>
          <w:sz w:val="20"/>
          <w:szCs w:val="20"/>
        </w:rPr>
      </w:pPr>
    </w:p>
    <w:p w14:paraId="26734C36"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Damaged Goods: Adjustments for inventory items that have been damaged and can no longer be sold. </w:t>
      </w:r>
    </w:p>
    <w:p w14:paraId="303F6E83"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proofErr w:type="gramStart"/>
      <w:r w:rsidRPr="00A00B39">
        <w:rPr>
          <w:rFonts w:ascii="Arial" w:hAnsi="Arial" w:cs="Arial"/>
          <w:sz w:val="20"/>
          <w:szCs w:val="20"/>
        </w:rPr>
        <w:t>Expired</w:t>
      </w:r>
      <w:proofErr w:type="gramEnd"/>
      <w:r w:rsidRPr="00A00B39">
        <w:rPr>
          <w:rFonts w:ascii="Arial" w:hAnsi="Arial" w:cs="Arial"/>
          <w:sz w:val="20"/>
          <w:szCs w:val="20"/>
        </w:rPr>
        <w:t xml:space="preserve"> Products: For perishable goods, adjustments for items that have passed their expiration date. </w:t>
      </w:r>
    </w:p>
    <w:p w14:paraId="0C7F6897"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Theft or Loss: Adjustments made to account for inventory losses due to theft, fraud, or misplacement.</w:t>
      </w:r>
    </w:p>
    <w:p w14:paraId="0EDC29E6"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Spoilage/Contaminated: </w:t>
      </w:r>
      <w:proofErr w:type="gramStart"/>
      <w:r w:rsidRPr="00A00B39">
        <w:rPr>
          <w:rFonts w:ascii="Arial" w:hAnsi="Arial" w:cs="Arial"/>
          <w:sz w:val="20"/>
          <w:szCs w:val="20"/>
        </w:rPr>
        <w:t>Similar to</w:t>
      </w:r>
      <w:proofErr w:type="gramEnd"/>
      <w:r w:rsidRPr="00A00B39">
        <w:rPr>
          <w:rFonts w:ascii="Arial" w:hAnsi="Arial" w:cs="Arial"/>
          <w:sz w:val="20"/>
          <w:szCs w:val="20"/>
        </w:rPr>
        <w:t xml:space="preserve"> expired products, adjustments for inventory that has spoiled and cannot be sold. </w:t>
      </w:r>
    </w:p>
    <w:p w14:paraId="2F400325"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Obsolescence: Adjustments for items that are no longer sellable due to being outdated or out of fashion.</w:t>
      </w:r>
    </w:p>
    <w:p w14:paraId="45C56AD2"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Returns and Allowances: Adjustments for returned merchandise that impacts inventory levels. </w:t>
      </w:r>
    </w:p>
    <w:p w14:paraId="419FE5F6"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Inventory Write-offs: Adjustments to write off inventory that is deemed unsellable or worthless. </w:t>
      </w:r>
    </w:p>
    <w:p w14:paraId="2E45E8E2"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Transfer Between Locations: Adjustments related to moving inventory from one location to another, which may require re-evaluation of stock levels.  </w:t>
      </w:r>
    </w:p>
    <w:p w14:paraId="4B03E9C3"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Supplier Errors: Adjustments for discrepancies due to incorrect shipments from suppliers, such as over-shipments or </w:t>
      </w:r>
      <w:proofErr w:type="gramStart"/>
      <w:r w:rsidRPr="00A00B39">
        <w:rPr>
          <w:rFonts w:ascii="Arial" w:hAnsi="Arial" w:cs="Arial"/>
          <w:sz w:val="20"/>
          <w:szCs w:val="20"/>
        </w:rPr>
        <w:t>short-shipments</w:t>
      </w:r>
      <w:proofErr w:type="gramEnd"/>
      <w:r w:rsidRPr="00A00B39">
        <w:rPr>
          <w:rFonts w:ascii="Arial" w:hAnsi="Arial" w:cs="Arial"/>
          <w:sz w:val="20"/>
          <w:szCs w:val="20"/>
        </w:rPr>
        <w:t xml:space="preserve">. </w:t>
      </w:r>
    </w:p>
    <w:p w14:paraId="702BB880"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 xml:space="preserve">Product Recalls: Adjustments for inventory that must be removed from sale due to safety or quality concerns. </w:t>
      </w:r>
    </w:p>
    <w:p w14:paraId="5851FE76" w14:textId="77777777" w:rsidR="00A00B39" w:rsidRPr="00A00B39" w:rsidRDefault="00A00B39" w:rsidP="009A1167">
      <w:pPr>
        <w:pStyle w:val="ListParagraph"/>
        <w:numPr>
          <w:ilvl w:val="0"/>
          <w:numId w:val="87"/>
        </w:numPr>
        <w:spacing w:after="160" w:line="259" w:lineRule="auto"/>
        <w:ind w:left="720"/>
        <w:contextualSpacing/>
        <w:rPr>
          <w:rFonts w:ascii="Arial" w:hAnsi="Arial" w:cs="Arial"/>
          <w:sz w:val="20"/>
          <w:szCs w:val="20"/>
        </w:rPr>
      </w:pPr>
      <w:r w:rsidRPr="00A00B39">
        <w:rPr>
          <w:rFonts w:ascii="Arial" w:hAnsi="Arial" w:cs="Arial"/>
          <w:sz w:val="20"/>
          <w:szCs w:val="20"/>
        </w:rPr>
        <w:t>Consignment consumption: Adjustment for consumed consignment inventory at Vendor location.</w:t>
      </w:r>
    </w:p>
    <w:p w14:paraId="5C9BC75D" w14:textId="3956D49E" w:rsidR="00A00B39" w:rsidRDefault="00A00B39" w:rsidP="009A1167">
      <w:pPr>
        <w:ind w:left="720"/>
        <w:rPr>
          <w:rFonts w:ascii="Arial" w:hAnsi="Arial" w:cs="Arial"/>
          <w:sz w:val="20"/>
        </w:rPr>
      </w:pPr>
      <w:r w:rsidRPr="00A00B39">
        <w:rPr>
          <w:rFonts w:ascii="Arial" w:hAnsi="Arial" w:cs="Arial"/>
          <w:sz w:val="20"/>
        </w:rPr>
        <w:t>Note: These adjustments are documented thoroughly to maintain accurate financial records and inventory levels.</w:t>
      </w:r>
    </w:p>
    <w:p w14:paraId="4F8E7212" w14:textId="77777777" w:rsidR="009F7DCB" w:rsidRPr="00A00B39" w:rsidRDefault="009F7DCB" w:rsidP="009A1167">
      <w:pPr>
        <w:ind w:left="720"/>
        <w:rPr>
          <w:rFonts w:ascii="Arial" w:hAnsi="Arial" w:cs="Arial"/>
          <w:sz w:val="20"/>
        </w:rPr>
      </w:pPr>
    </w:p>
    <w:p w14:paraId="5F3C1419" w14:textId="1FB9F654" w:rsidR="00A00B39" w:rsidRPr="00A00B39" w:rsidRDefault="00A00B39" w:rsidP="009A1167">
      <w:pPr>
        <w:ind w:left="720"/>
        <w:rPr>
          <w:rFonts w:ascii="Arial" w:hAnsi="Arial" w:cs="Arial"/>
          <w:sz w:val="20"/>
        </w:rPr>
      </w:pPr>
      <w:r w:rsidRPr="00A00B39">
        <w:rPr>
          <w:rFonts w:ascii="Arial" w:hAnsi="Arial" w:cs="Arial"/>
          <w:sz w:val="20"/>
        </w:rPr>
        <w:t>Note from Inventory Controls: For now, until proper training has been given</w:t>
      </w:r>
      <w:r w:rsidR="009F7DCB">
        <w:rPr>
          <w:rFonts w:ascii="Arial" w:hAnsi="Arial" w:cs="Arial"/>
          <w:sz w:val="20"/>
        </w:rPr>
        <w:t xml:space="preserve"> -</w:t>
      </w:r>
      <w:r w:rsidRPr="00A00B39">
        <w:rPr>
          <w:rFonts w:ascii="Arial" w:hAnsi="Arial" w:cs="Arial"/>
          <w:sz w:val="20"/>
        </w:rPr>
        <w:t xml:space="preserve"> ONLY Inventory Analyst, Supervisors and/or Manager are allowed to </w:t>
      </w:r>
      <w:proofErr w:type="gramStart"/>
      <w:r w:rsidRPr="00A00B39">
        <w:rPr>
          <w:rFonts w:ascii="Arial" w:hAnsi="Arial" w:cs="Arial"/>
          <w:sz w:val="20"/>
        </w:rPr>
        <w:t>make adjustments</w:t>
      </w:r>
      <w:proofErr w:type="gramEnd"/>
      <w:r w:rsidRPr="00A00B39">
        <w:rPr>
          <w:rFonts w:ascii="Arial" w:hAnsi="Arial" w:cs="Arial"/>
          <w:sz w:val="20"/>
        </w:rPr>
        <w:t xml:space="preserve"> in SAP. Inventory Coordinator will be restricted to transfers only.</w:t>
      </w:r>
    </w:p>
    <w:p w14:paraId="3CB281BA" w14:textId="77777777" w:rsidR="00A00B39" w:rsidRDefault="00A00B39" w:rsidP="00A00B39">
      <w:pPr>
        <w:ind w:left="360"/>
        <w:rPr>
          <w:rFonts w:ascii="Arial" w:hAnsi="Arial" w:cs="Arial"/>
          <w:sz w:val="20"/>
        </w:rPr>
      </w:pPr>
    </w:p>
    <w:p w14:paraId="120D20D7" w14:textId="5089F2F1" w:rsidR="00E34965" w:rsidRDefault="00E34965" w:rsidP="00E34965">
      <w:pPr>
        <w:pStyle w:val="Heading2"/>
        <w:tabs>
          <w:tab w:val="clear" w:pos="1440"/>
          <w:tab w:val="clear" w:pos="2880"/>
          <w:tab w:val="clear" w:pos="4395"/>
          <w:tab w:val="clear" w:pos="5760"/>
          <w:tab w:val="clear" w:pos="7560"/>
        </w:tabs>
        <w:spacing w:line="0" w:lineRule="atLeast"/>
        <w:ind w:left="360"/>
        <w:rPr>
          <w:rFonts w:ascii="Century Gothic" w:hAnsi="Century Gothic" w:cs="Arial"/>
          <w:bCs w:val="0"/>
          <w:sz w:val="20"/>
        </w:rPr>
      </w:pPr>
      <w:r>
        <w:rPr>
          <w:rFonts w:ascii="Century Gothic" w:hAnsi="Century Gothic" w:cs="Arial"/>
          <w:bCs w:val="0"/>
          <w:sz w:val="20"/>
        </w:rPr>
        <w:t>9.8 Vendor held inventory confirmations</w:t>
      </w:r>
    </w:p>
    <w:p w14:paraId="1CB19CD1" w14:textId="77777777" w:rsidR="00E34965" w:rsidRDefault="00E34965" w:rsidP="00E34965">
      <w:pPr>
        <w:ind w:left="360"/>
        <w:rPr>
          <w:rFonts w:ascii="Arial" w:hAnsi="Arial" w:cs="Arial"/>
          <w:sz w:val="20"/>
        </w:rPr>
      </w:pPr>
    </w:p>
    <w:p w14:paraId="64D9C70E" w14:textId="6D3C7680" w:rsidR="00E34965" w:rsidRDefault="00E34965" w:rsidP="00E34965">
      <w:pPr>
        <w:ind w:left="360"/>
        <w:rPr>
          <w:rFonts w:ascii="Arial" w:hAnsi="Arial" w:cs="Arial"/>
          <w:sz w:val="20"/>
        </w:rPr>
      </w:pPr>
      <w:r w:rsidRPr="00FA6605">
        <w:rPr>
          <w:rFonts w:ascii="Arial" w:hAnsi="Arial" w:cs="Arial"/>
          <w:sz w:val="20"/>
        </w:rPr>
        <w:t xml:space="preserve">Below are the approval limits for an inventory write-off or </w:t>
      </w:r>
      <w:r w:rsidR="002526D6">
        <w:rPr>
          <w:rFonts w:ascii="Arial" w:hAnsi="Arial" w:cs="Arial"/>
          <w:sz w:val="20"/>
        </w:rPr>
        <w:t xml:space="preserve">adjustment </w:t>
      </w:r>
      <w:proofErr w:type="gramStart"/>
      <w:r w:rsidR="002526D6">
        <w:rPr>
          <w:rFonts w:ascii="Arial" w:hAnsi="Arial" w:cs="Arial"/>
          <w:sz w:val="20"/>
        </w:rPr>
        <w:t>as a result o</w:t>
      </w:r>
      <w:r w:rsidR="00797D5A">
        <w:rPr>
          <w:rFonts w:ascii="Arial" w:hAnsi="Arial" w:cs="Arial"/>
          <w:sz w:val="20"/>
        </w:rPr>
        <w:t>f</w:t>
      </w:r>
      <w:proofErr w:type="gramEnd"/>
      <w:r w:rsidR="00797D5A">
        <w:rPr>
          <w:rFonts w:ascii="Arial" w:hAnsi="Arial" w:cs="Arial"/>
          <w:sz w:val="20"/>
        </w:rPr>
        <w:t xml:space="preserve"> confirmations</w:t>
      </w:r>
      <w:r w:rsidRPr="00FA6605">
        <w:rPr>
          <w:rFonts w:ascii="Arial" w:hAnsi="Arial" w:cs="Arial"/>
          <w:sz w:val="20"/>
        </w:rPr>
        <w:t>.</w:t>
      </w:r>
    </w:p>
    <w:p w14:paraId="1561A209" w14:textId="77777777" w:rsidR="00E507C9" w:rsidRDefault="00E507C9" w:rsidP="00E34965">
      <w:pPr>
        <w:ind w:left="360"/>
        <w:rPr>
          <w:rFonts w:ascii="Arial" w:hAnsi="Arial" w:cs="Arial"/>
          <w:sz w:val="20"/>
        </w:rPr>
      </w:pPr>
    </w:p>
    <w:p w14:paraId="611F889D" w14:textId="77777777" w:rsidR="00E507C9" w:rsidRPr="00A42117" w:rsidRDefault="00E507C9" w:rsidP="00E507C9">
      <w:pPr>
        <w:pStyle w:val="ListParagraph"/>
        <w:spacing w:line="0" w:lineRule="atLeast"/>
        <w:ind w:left="360"/>
        <w:contextualSpacing/>
        <w:jc w:val="both"/>
        <w:rPr>
          <w:rFonts w:ascii="Arial" w:hAnsi="Arial" w:cs="Arial"/>
          <w:sz w:val="20"/>
        </w:rPr>
      </w:pPr>
      <w:r>
        <w:rPr>
          <w:rFonts w:ascii="Arial" w:hAnsi="Arial" w:cs="Arial"/>
          <w:sz w:val="20"/>
        </w:rPr>
        <w:t xml:space="preserve">Review </w:t>
      </w:r>
      <w:r w:rsidRPr="00A42117">
        <w:rPr>
          <w:rFonts w:ascii="Arial" w:hAnsi="Arial" w:cs="Arial"/>
          <w:sz w:val="20"/>
        </w:rPr>
        <w:t xml:space="preserve">Vendor Managed Inventory (VMI) to Perpetual Inventory in SAP </w:t>
      </w:r>
      <w:r>
        <w:rPr>
          <w:rFonts w:ascii="Arial" w:hAnsi="Arial" w:cs="Arial"/>
          <w:sz w:val="20"/>
        </w:rPr>
        <w:t>monthly</w:t>
      </w:r>
      <w:r w:rsidRPr="00A42117">
        <w:rPr>
          <w:rFonts w:ascii="Arial" w:hAnsi="Arial" w:cs="Arial"/>
          <w:sz w:val="20"/>
        </w:rPr>
        <w:t xml:space="preserve"> </w:t>
      </w:r>
      <w:r>
        <w:rPr>
          <w:rFonts w:ascii="Arial" w:hAnsi="Arial" w:cs="Arial"/>
          <w:sz w:val="20"/>
        </w:rPr>
        <w:t>to e</w:t>
      </w:r>
      <w:r w:rsidRPr="00A42117">
        <w:rPr>
          <w:rFonts w:ascii="Arial" w:hAnsi="Arial" w:cs="Arial"/>
          <w:sz w:val="20"/>
        </w:rPr>
        <w:t xml:space="preserve">nsure accurate and timely reconciliation of consignment balances provided by vendors against the perpetual inventory in SAP, and to make necessary adjustments. Also record all monthly credit memos for </w:t>
      </w:r>
      <w:proofErr w:type="gramStart"/>
      <w:r w:rsidRPr="00A42117">
        <w:rPr>
          <w:rFonts w:ascii="Arial" w:hAnsi="Arial" w:cs="Arial"/>
          <w:sz w:val="20"/>
        </w:rPr>
        <w:t>purchased</w:t>
      </w:r>
      <w:proofErr w:type="gramEnd"/>
      <w:r w:rsidRPr="00A42117">
        <w:rPr>
          <w:rFonts w:ascii="Arial" w:hAnsi="Arial" w:cs="Arial"/>
          <w:sz w:val="20"/>
        </w:rPr>
        <w:t xml:space="preserve"> and consumption of consignment inventory.</w:t>
      </w:r>
    </w:p>
    <w:p w14:paraId="11C8DCCF" w14:textId="77777777" w:rsidR="00E507C9" w:rsidRPr="00A42117" w:rsidRDefault="00E507C9" w:rsidP="00E507C9">
      <w:pPr>
        <w:pStyle w:val="ListParagraph"/>
        <w:spacing w:line="0" w:lineRule="atLeast"/>
        <w:ind w:left="360"/>
        <w:contextualSpacing/>
        <w:jc w:val="both"/>
        <w:rPr>
          <w:rFonts w:ascii="Arial" w:hAnsi="Arial" w:cs="Arial"/>
          <w:sz w:val="20"/>
        </w:rPr>
      </w:pPr>
    </w:p>
    <w:p w14:paraId="61CBB41C" w14:textId="77777777" w:rsidR="00E507C9" w:rsidRPr="00A42117" w:rsidRDefault="00E507C9" w:rsidP="00E507C9">
      <w:pPr>
        <w:pStyle w:val="ListParagraph"/>
        <w:numPr>
          <w:ilvl w:val="0"/>
          <w:numId w:val="89"/>
        </w:numPr>
        <w:spacing w:line="0" w:lineRule="atLeast"/>
        <w:contextualSpacing/>
        <w:jc w:val="both"/>
        <w:rPr>
          <w:rFonts w:ascii="Arial" w:hAnsi="Arial" w:cs="Arial"/>
          <w:sz w:val="20"/>
        </w:rPr>
      </w:pPr>
      <w:r w:rsidRPr="00A42117">
        <w:rPr>
          <w:rFonts w:ascii="Arial" w:hAnsi="Arial" w:cs="Arial"/>
          <w:sz w:val="20"/>
        </w:rPr>
        <w:t xml:space="preserve">Obtain &amp; </w:t>
      </w:r>
      <w:r w:rsidRPr="00EB6845">
        <w:rPr>
          <w:rFonts w:ascii="Arial" w:hAnsi="Arial" w:cs="Arial"/>
          <w:sz w:val="20"/>
        </w:rPr>
        <w:t>reconcile</w:t>
      </w:r>
      <w:r w:rsidRPr="00A42117">
        <w:rPr>
          <w:rFonts w:ascii="Arial" w:hAnsi="Arial" w:cs="Arial"/>
          <w:sz w:val="20"/>
        </w:rPr>
        <w:t xml:space="preserve"> </w:t>
      </w:r>
      <w:r>
        <w:rPr>
          <w:rFonts w:ascii="Arial" w:hAnsi="Arial" w:cs="Arial"/>
          <w:sz w:val="20"/>
        </w:rPr>
        <w:t>vendor held m</w:t>
      </w:r>
      <w:r w:rsidRPr="00A42117">
        <w:rPr>
          <w:rFonts w:ascii="Arial" w:hAnsi="Arial" w:cs="Arial"/>
          <w:sz w:val="20"/>
        </w:rPr>
        <w:t xml:space="preserve">onthly Inventory </w:t>
      </w:r>
      <w:r>
        <w:rPr>
          <w:rFonts w:ascii="Arial" w:hAnsi="Arial" w:cs="Arial"/>
          <w:sz w:val="20"/>
        </w:rPr>
        <w:t>e</w:t>
      </w:r>
      <w:r w:rsidRPr="00A42117">
        <w:rPr>
          <w:rFonts w:ascii="Arial" w:hAnsi="Arial" w:cs="Arial"/>
          <w:sz w:val="20"/>
        </w:rPr>
        <w:t xml:space="preserve">nding </w:t>
      </w:r>
      <w:r>
        <w:rPr>
          <w:rFonts w:ascii="Arial" w:hAnsi="Arial" w:cs="Arial"/>
          <w:sz w:val="20"/>
        </w:rPr>
        <w:t>b</w:t>
      </w:r>
      <w:r w:rsidRPr="00A42117">
        <w:rPr>
          <w:rFonts w:ascii="Arial" w:hAnsi="Arial" w:cs="Arial"/>
          <w:sz w:val="20"/>
        </w:rPr>
        <w:t xml:space="preserve">alances </w:t>
      </w:r>
      <w:r>
        <w:rPr>
          <w:rFonts w:ascii="Arial" w:hAnsi="Arial" w:cs="Arial"/>
          <w:sz w:val="20"/>
        </w:rPr>
        <w:t>p</w:t>
      </w:r>
      <w:r w:rsidRPr="00A42117">
        <w:rPr>
          <w:rFonts w:ascii="Arial" w:hAnsi="Arial" w:cs="Arial"/>
          <w:sz w:val="20"/>
        </w:rPr>
        <w:t>urchase</w:t>
      </w:r>
      <w:r>
        <w:rPr>
          <w:rFonts w:ascii="Arial" w:hAnsi="Arial" w:cs="Arial"/>
          <w:sz w:val="20"/>
        </w:rPr>
        <w:t>d</w:t>
      </w:r>
      <w:r w:rsidRPr="00A42117">
        <w:rPr>
          <w:rFonts w:ascii="Arial" w:hAnsi="Arial" w:cs="Arial"/>
          <w:sz w:val="20"/>
        </w:rPr>
        <w:t xml:space="preserve"> and</w:t>
      </w:r>
      <w:r>
        <w:rPr>
          <w:rFonts w:ascii="Arial" w:hAnsi="Arial" w:cs="Arial"/>
          <w:sz w:val="20"/>
        </w:rPr>
        <w:t xml:space="preserve">/or </w:t>
      </w:r>
      <w:r w:rsidRPr="00EB6845">
        <w:rPr>
          <w:rFonts w:ascii="Arial" w:hAnsi="Arial" w:cs="Arial"/>
          <w:sz w:val="20"/>
        </w:rPr>
        <w:t>consignment</w:t>
      </w:r>
      <w:r>
        <w:rPr>
          <w:rFonts w:ascii="Arial" w:hAnsi="Arial" w:cs="Arial"/>
          <w:sz w:val="20"/>
        </w:rPr>
        <w:t>.</w:t>
      </w:r>
      <w:r w:rsidRPr="00A42117">
        <w:rPr>
          <w:rFonts w:ascii="Arial" w:hAnsi="Arial" w:cs="Arial"/>
          <w:sz w:val="20"/>
        </w:rPr>
        <w:t xml:space="preserve"> </w:t>
      </w:r>
    </w:p>
    <w:p w14:paraId="5EC977E0" w14:textId="77777777" w:rsidR="00E507C9" w:rsidRPr="00A42117" w:rsidRDefault="00E507C9" w:rsidP="00E507C9">
      <w:pPr>
        <w:pStyle w:val="ListParagraph"/>
        <w:numPr>
          <w:ilvl w:val="0"/>
          <w:numId w:val="89"/>
        </w:numPr>
        <w:spacing w:line="0" w:lineRule="atLeast"/>
        <w:contextualSpacing/>
        <w:jc w:val="both"/>
        <w:rPr>
          <w:rFonts w:ascii="Arial" w:hAnsi="Arial" w:cs="Arial"/>
          <w:sz w:val="20"/>
        </w:rPr>
      </w:pPr>
      <w:r w:rsidRPr="00A42117">
        <w:rPr>
          <w:rFonts w:ascii="Arial" w:hAnsi="Arial" w:cs="Arial"/>
          <w:sz w:val="20"/>
        </w:rPr>
        <w:t xml:space="preserve">Request </w:t>
      </w:r>
      <w:r>
        <w:rPr>
          <w:rFonts w:ascii="Arial" w:hAnsi="Arial" w:cs="Arial"/>
          <w:sz w:val="20"/>
        </w:rPr>
        <w:t>m</w:t>
      </w:r>
      <w:r w:rsidRPr="00A42117">
        <w:rPr>
          <w:rFonts w:ascii="Arial" w:hAnsi="Arial" w:cs="Arial"/>
          <w:sz w:val="20"/>
        </w:rPr>
        <w:t xml:space="preserve">onthly </w:t>
      </w:r>
      <w:r>
        <w:rPr>
          <w:rFonts w:ascii="Arial" w:hAnsi="Arial" w:cs="Arial"/>
          <w:sz w:val="20"/>
        </w:rPr>
        <w:t>c</w:t>
      </w:r>
      <w:r w:rsidRPr="00A42117">
        <w:rPr>
          <w:rFonts w:ascii="Arial" w:hAnsi="Arial" w:cs="Arial"/>
          <w:sz w:val="20"/>
        </w:rPr>
        <w:t xml:space="preserve">redit </w:t>
      </w:r>
      <w:r>
        <w:rPr>
          <w:rFonts w:ascii="Arial" w:hAnsi="Arial" w:cs="Arial"/>
          <w:sz w:val="20"/>
        </w:rPr>
        <w:t>m</w:t>
      </w:r>
      <w:r w:rsidRPr="00A42117">
        <w:rPr>
          <w:rFonts w:ascii="Arial" w:hAnsi="Arial" w:cs="Arial"/>
          <w:sz w:val="20"/>
        </w:rPr>
        <w:t>emo</w:t>
      </w:r>
      <w:r>
        <w:rPr>
          <w:rFonts w:ascii="Arial" w:hAnsi="Arial" w:cs="Arial"/>
          <w:sz w:val="20"/>
        </w:rPr>
        <w:t xml:space="preserve"> if necessary</w:t>
      </w:r>
      <w:proofErr w:type="gramStart"/>
      <w:r>
        <w:rPr>
          <w:rFonts w:ascii="Arial" w:hAnsi="Arial" w:cs="Arial"/>
          <w:sz w:val="20"/>
        </w:rPr>
        <w:t>. .</w:t>
      </w:r>
      <w:proofErr w:type="gramEnd"/>
      <w:r>
        <w:rPr>
          <w:rFonts w:ascii="Arial" w:hAnsi="Arial" w:cs="Arial"/>
          <w:sz w:val="20"/>
        </w:rPr>
        <w:t xml:space="preserve"> </w:t>
      </w:r>
    </w:p>
    <w:p w14:paraId="7208C72E" w14:textId="77777777" w:rsidR="00E507C9" w:rsidRPr="00A42117" w:rsidRDefault="00E507C9" w:rsidP="00E507C9">
      <w:pPr>
        <w:pStyle w:val="ListParagraph"/>
        <w:numPr>
          <w:ilvl w:val="0"/>
          <w:numId w:val="89"/>
        </w:numPr>
        <w:spacing w:line="0" w:lineRule="atLeast"/>
        <w:contextualSpacing/>
        <w:jc w:val="both"/>
        <w:rPr>
          <w:rFonts w:ascii="Arial" w:hAnsi="Arial" w:cs="Arial"/>
          <w:sz w:val="20"/>
        </w:rPr>
      </w:pPr>
      <w:r w:rsidRPr="00A42117">
        <w:rPr>
          <w:rFonts w:ascii="Arial" w:hAnsi="Arial" w:cs="Arial"/>
          <w:sz w:val="20"/>
        </w:rPr>
        <w:t xml:space="preserve">Book Quarterly </w:t>
      </w:r>
      <w:r>
        <w:rPr>
          <w:rFonts w:ascii="Arial" w:hAnsi="Arial" w:cs="Arial"/>
          <w:sz w:val="20"/>
        </w:rPr>
        <w:t>a</w:t>
      </w:r>
      <w:r w:rsidRPr="00A42117">
        <w:rPr>
          <w:rFonts w:ascii="Arial" w:hAnsi="Arial" w:cs="Arial"/>
          <w:sz w:val="20"/>
        </w:rPr>
        <w:t>ccrual</w:t>
      </w:r>
      <w:r>
        <w:rPr>
          <w:rFonts w:ascii="Arial" w:hAnsi="Arial" w:cs="Arial"/>
          <w:sz w:val="20"/>
        </w:rPr>
        <w:t xml:space="preserve"> to true-up SAP balances to vendor confirmed balances</w:t>
      </w:r>
    </w:p>
    <w:p w14:paraId="55CE24BF" w14:textId="77777777" w:rsidR="00E507C9" w:rsidRDefault="00E507C9" w:rsidP="00E507C9">
      <w:pPr>
        <w:pStyle w:val="ListParagraph"/>
        <w:numPr>
          <w:ilvl w:val="0"/>
          <w:numId w:val="89"/>
        </w:numPr>
        <w:spacing w:line="0" w:lineRule="atLeast"/>
        <w:contextualSpacing/>
        <w:jc w:val="both"/>
        <w:rPr>
          <w:rFonts w:ascii="Arial" w:hAnsi="Arial" w:cs="Arial"/>
          <w:sz w:val="20"/>
        </w:rPr>
      </w:pPr>
      <w:r w:rsidRPr="00A42117">
        <w:rPr>
          <w:rFonts w:ascii="Arial" w:hAnsi="Arial" w:cs="Arial"/>
          <w:sz w:val="20"/>
        </w:rPr>
        <w:t xml:space="preserve">Transactional </w:t>
      </w:r>
      <w:r>
        <w:rPr>
          <w:rFonts w:ascii="Arial" w:hAnsi="Arial" w:cs="Arial"/>
          <w:sz w:val="20"/>
        </w:rPr>
        <w:t>i</w:t>
      </w:r>
      <w:r w:rsidRPr="00A42117">
        <w:rPr>
          <w:rFonts w:ascii="Arial" w:hAnsi="Arial" w:cs="Arial"/>
          <w:sz w:val="20"/>
        </w:rPr>
        <w:t xml:space="preserve">nventory </w:t>
      </w:r>
      <w:r>
        <w:rPr>
          <w:rFonts w:ascii="Arial" w:hAnsi="Arial" w:cs="Arial"/>
          <w:sz w:val="20"/>
        </w:rPr>
        <w:t>a</w:t>
      </w:r>
      <w:r w:rsidRPr="00A42117">
        <w:rPr>
          <w:rFonts w:ascii="Arial" w:hAnsi="Arial" w:cs="Arial"/>
          <w:sz w:val="20"/>
        </w:rPr>
        <w:t>djustment</w:t>
      </w:r>
      <w:r>
        <w:rPr>
          <w:rFonts w:ascii="Arial" w:hAnsi="Arial" w:cs="Arial"/>
          <w:sz w:val="20"/>
        </w:rPr>
        <w:t xml:space="preserve">s on consumption and balance true-up to be performed by inventory management </w:t>
      </w:r>
      <w:proofErr w:type="gramStart"/>
      <w:r>
        <w:rPr>
          <w:rFonts w:ascii="Arial" w:hAnsi="Arial" w:cs="Arial"/>
          <w:sz w:val="20"/>
        </w:rPr>
        <w:t>on a monthly basis</w:t>
      </w:r>
      <w:proofErr w:type="gramEnd"/>
      <w:r>
        <w:rPr>
          <w:rFonts w:ascii="Arial" w:hAnsi="Arial" w:cs="Arial"/>
          <w:sz w:val="20"/>
        </w:rPr>
        <w:t xml:space="preserve">. There will be a one-month lag due to timing between the closing of the subledger and the balance confirmation receipt. </w:t>
      </w:r>
      <w:proofErr w:type="gramStart"/>
      <w:r>
        <w:rPr>
          <w:rFonts w:ascii="Arial" w:hAnsi="Arial" w:cs="Arial"/>
          <w:sz w:val="20"/>
        </w:rPr>
        <w:t>Adjustment</w:t>
      </w:r>
      <w:proofErr w:type="gramEnd"/>
      <w:r>
        <w:rPr>
          <w:rFonts w:ascii="Arial" w:hAnsi="Arial" w:cs="Arial"/>
          <w:sz w:val="20"/>
        </w:rPr>
        <w:t xml:space="preserve"> </w:t>
      </w:r>
      <w:proofErr w:type="gramStart"/>
      <w:r>
        <w:rPr>
          <w:rFonts w:ascii="Arial" w:hAnsi="Arial" w:cs="Arial"/>
          <w:sz w:val="20"/>
        </w:rPr>
        <w:t>for previous</w:t>
      </w:r>
      <w:proofErr w:type="gramEnd"/>
      <w:r>
        <w:rPr>
          <w:rFonts w:ascii="Arial" w:hAnsi="Arial" w:cs="Arial"/>
          <w:sz w:val="20"/>
        </w:rPr>
        <w:t xml:space="preserve"> month will be made in the current month.</w:t>
      </w:r>
    </w:p>
    <w:p w14:paraId="2F8941C5" w14:textId="77777777" w:rsidR="006B22E3" w:rsidRDefault="006B22E3" w:rsidP="00FC279A">
      <w:pPr>
        <w:ind w:left="360"/>
        <w:rPr>
          <w:rFonts w:ascii="Arial" w:hAnsi="Arial" w:cs="Arial"/>
          <w:sz w:val="20"/>
        </w:rPr>
      </w:pPr>
    </w:p>
    <w:p w14:paraId="2693E819" w14:textId="7E09E265" w:rsidR="00DF7DFD" w:rsidRDefault="00F62BB8" w:rsidP="00FC279A">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45" w:name="_Prepaid_and_Other"/>
      <w:bookmarkEnd w:id="45"/>
      <w:r>
        <w:rPr>
          <w:rFonts w:ascii="Century Gothic" w:hAnsi="Century Gothic" w:cs="Arial"/>
          <w:bCs w:val="0"/>
          <w:sz w:val="20"/>
        </w:rPr>
        <w:t>Prepaid</w:t>
      </w:r>
      <w:r w:rsidR="0034192B">
        <w:rPr>
          <w:rFonts w:ascii="Century Gothic" w:hAnsi="Century Gothic" w:cs="Arial"/>
          <w:bCs w:val="0"/>
          <w:sz w:val="20"/>
        </w:rPr>
        <w:t>, Deferred Charges</w:t>
      </w:r>
      <w:r>
        <w:rPr>
          <w:rFonts w:ascii="Century Gothic" w:hAnsi="Century Gothic" w:cs="Arial"/>
          <w:bCs w:val="0"/>
          <w:sz w:val="20"/>
        </w:rPr>
        <w:t xml:space="preserve"> and Other Current Assets</w:t>
      </w:r>
    </w:p>
    <w:p w14:paraId="1980507A" w14:textId="4B63DCA2" w:rsidR="00DF7DFD" w:rsidRDefault="00F62BB8" w:rsidP="00C96CD5">
      <w:pPr>
        <w:pStyle w:val="ListParagraph"/>
        <w:spacing w:line="0" w:lineRule="atLeast"/>
        <w:ind w:left="360"/>
        <w:contextualSpacing/>
        <w:jc w:val="both"/>
        <w:rPr>
          <w:rFonts w:ascii="Arial" w:hAnsi="Arial" w:cs="Arial"/>
          <w:sz w:val="20"/>
        </w:rPr>
      </w:pPr>
      <w:r>
        <w:rPr>
          <w:rFonts w:ascii="Arial" w:hAnsi="Arial" w:cs="Arial"/>
          <w:sz w:val="20"/>
        </w:rPr>
        <w:t xml:space="preserve">A prepaid asset should be recorded when we pay </w:t>
      </w:r>
      <w:r w:rsidR="00DD4749">
        <w:rPr>
          <w:rFonts w:ascii="Arial" w:hAnsi="Arial" w:cs="Arial"/>
          <w:sz w:val="20"/>
        </w:rPr>
        <w:t>$</w:t>
      </w:r>
      <w:r w:rsidR="00946D1A">
        <w:rPr>
          <w:rFonts w:ascii="Arial" w:hAnsi="Arial" w:cs="Arial"/>
          <w:sz w:val="20"/>
        </w:rPr>
        <w:t>20</w:t>
      </w:r>
      <w:r w:rsidR="00DD4749">
        <w:rPr>
          <w:rFonts w:ascii="Arial" w:hAnsi="Arial" w:cs="Arial"/>
          <w:sz w:val="20"/>
        </w:rPr>
        <w:t xml:space="preserve">,000 or more </w:t>
      </w:r>
      <w:r>
        <w:rPr>
          <w:rFonts w:ascii="Arial" w:hAnsi="Arial" w:cs="Arial"/>
          <w:sz w:val="20"/>
        </w:rPr>
        <w:t xml:space="preserve">for a good or service in advance.  If it is for </w:t>
      </w:r>
      <w:proofErr w:type="gramStart"/>
      <w:r>
        <w:rPr>
          <w:rFonts w:ascii="Arial" w:hAnsi="Arial" w:cs="Arial"/>
          <w:sz w:val="20"/>
        </w:rPr>
        <w:t>a good</w:t>
      </w:r>
      <w:proofErr w:type="gramEnd"/>
      <w:r>
        <w:rPr>
          <w:rFonts w:ascii="Arial" w:hAnsi="Arial" w:cs="Arial"/>
          <w:sz w:val="20"/>
        </w:rPr>
        <w:t>, the prepayment would be decreased and recognized as an expense when the good is received.  If it is for a service, the prepayment would be decreased and recognized as an expense as the service is provided.</w:t>
      </w:r>
      <w:r w:rsidR="00DD4749">
        <w:rPr>
          <w:rFonts w:ascii="Arial" w:hAnsi="Arial" w:cs="Arial"/>
          <w:sz w:val="20"/>
        </w:rPr>
        <w:t xml:space="preserve"> </w:t>
      </w:r>
      <w:r>
        <w:rPr>
          <w:rFonts w:ascii="Arial" w:hAnsi="Arial" w:cs="Arial"/>
          <w:sz w:val="20"/>
        </w:rPr>
        <w:t>Other current assets should be recorded if they are reasonably expected to be realized in cash or consumed during the normal operating cycle of the business.</w:t>
      </w:r>
    </w:p>
    <w:p w14:paraId="5C99A181" w14:textId="0CD5C1BC" w:rsidR="0034192B" w:rsidRDefault="0034192B" w:rsidP="00DC178B">
      <w:pPr>
        <w:pStyle w:val="ListParagraph"/>
        <w:spacing w:line="0" w:lineRule="atLeast"/>
        <w:ind w:left="360"/>
        <w:contextualSpacing/>
        <w:jc w:val="both"/>
        <w:rPr>
          <w:rFonts w:ascii="Arial" w:hAnsi="Arial" w:cs="Arial"/>
          <w:sz w:val="20"/>
        </w:rPr>
      </w:pPr>
    </w:p>
    <w:p w14:paraId="7FC81F6A"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46" w:name="_Fixed_Assets"/>
      <w:bookmarkEnd w:id="46"/>
      <w:r>
        <w:rPr>
          <w:rFonts w:ascii="Century Gothic" w:hAnsi="Century Gothic" w:cs="Arial"/>
          <w:bCs w:val="0"/>
          <w:sz w:val="20"/>
        </w:rPr>
        <w:t>Fixed Assets</w:t>
      </w:r>
    </w:p>
    <w:p w14:paraId="3B6A2D34" w14:textId="77777777" w:rsidR="00DF7DFD" w:rsidRDefault="00DF7DFD" w:rsidP="00B5048D">
      <w:pPr>
        <w:pStyle w:val="ListParagraph"/>
        <w:spacing w:line="0" w:lineRule="atLeast"/>
        <w:ind w:left="360"/>
        <w:contextualSpacing/>
        <w:jc w:val="both"/>
        <w:rPr>
          <w:rFonts w:ascii="Century Gothic" w:hAnsi="Century Gothic" w:cs="Arial"/>
          <w:b/>
          <w:sz w:val="20"/>
        </w:rPr>
      </w:pPr>
    </w:p>
    <w:p w14:paraId="7354FBEE" w14:textId="77777777" w:rsidR="00DF7DFD" w:rsidRDefault="00F62BB8" w:rsidP="00B5048D">
      <w:pPr>
        <w:pStyle w:val="ListParagraph"/>
        <w:spacing w:line="0" w:lineRule="atLeast"/>
        <w:ind w:left="360"/>
        <w:contextualSpacing/>
        <w:jc w:val="both"/>
        <w:rPr>
          <w:rFonts w:ascii="Century Gothic" w:hAnsi="Century Gothic" w:cs="Arial"/>
          <w:b/>
          <w:sz w:val="20"/>
        </w:rPr>
      </w:pPr>
      <w:r>
        <w:rPr>
          <w:rFonts w:ascii="Century Gothic" w:hAnsi="Century Gothic" w:cs="Arial"/>
          <w:b/>
          <w:sz w:val="20"/>
        </w:rPr>
        <w:t>11.1 Acquisitions and Capitalization</w:t>
      </w:r>
    </w:p>
    <w:p w14:paraId="1E51C3B6" w14:textId="18F7C2C8"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 fixed asset is a long-lived productive asset that provides future benefit to the Company. Costs incurred to bring the asset to the condition and location necessary for its intended use, net of any discounts and rebates, should be capitalized.  Any fixed assets acquired exceeding a unit value of $5,000 (or </w:t>
      </w:r>
      <w:proofErr w:type="gramStart"/>
      <w:r>
        <w:rPr>
          <w:rFonts w:ascii="Arial" w:hAnsi="Arial" w:cs="Arial"/>
          <w:sz w:val="20"/>
        </w:rPr>
        <w:t>its</w:t>
      </w:r>
      <w:proofErr w:type="gramEnd"/>
      <w:r>
        <w:rPr>
          <w:rFonts w:ascii="Arial" w:hAnsi="Arial" w:cs="Arial"/>
          <w:sz w:val="20"/>
        </w:rPr>
        <w:t xml:space="preserve"> currency equivalent) should be capitalized and written off over </w:t>
      </w:r>
      <w:proofErr w:type="gramStart"/>
      <w:r>
        <w:rPr>
          <w:rFonts w:ascii="Arial" w:hAnsi="Arial" w:cs="Arial"/>
          <w:sz w:val="20"/>
        </w:rPr>
        <w:t>its</w:t>
      </w:r>
      <w:proofErr w:type="gramEnd"/>
      <w:r>
        <w:rPr>
          <w:rFonts w:ascii="Arial" w:hAnsi="Arial" w:cs="Arial"/>
          <w:sz w:val="20"/>
        </w:rPr>
        <w:t xml:space="preserve"> intended useful life. Like items that are purchased in bulk totaling $50,000 or more, although per unit price does not exceed the $5,000 capitalization level, should be capitalized</w:t>
      </w:r>
    </w:p>
    <w:p w14:paraId="41CDE679" w14:textId="77777777" w:rsidR="00DF7DFD" w:rsidRDefault="00DF7DFD" w:rsidP="00B5048D">
      <w:pPr>
        <w:pStyle w:val="ListParagraph"/>
        <w:spacing w:line="0" w:lineRule="atLeast"/>
        <w:ind w:left="360"/>
        <w:contextualSpacing/>
        <w:jc w:val="both"/>
        <w:rPr>
          <w:rFonts w:ascii="Arial" w:hAnsi="Arial" w:cs="Arial"/>
          <w:sz w:val="20"/>
        </w:rPr>
      </w:pPr>
    </w:p>
    <w:p w14:paraId="130F8321" w14:textId="77777777" w:rsidR="00DF7DFD" w:rsidRDefault="00F62BB8" w:rsidP="00B5048D">
      <w:pPr>
        <w:ind w:left="360"/>
        <w:rPr>
          <w:rFonts w:ascii="Arial" w:hAnsi="Arial" w:cs="Arial"/>
          <w:sz w:val="20"/>
          <w:szCs w:val="24"/>
        </w:rPr>
      </w:pPr>
      <w:r>
        <w:rPr>
          <w:rFonts w:ascii="Arial" w:hAnsi="Arial" w:cs="Arial"/>
          <w:sz w:val="20"/>
        </w:rPr>
        <w:t xml:space="preserve">Purchases used to construct another asset or used together to implement a single project in which the aggregate exceeds the $5,000 capitalization level are initially considered capital-in-process (CIP) until completed and properly capitalized as one asset.  </w:t>
      </w:r>
      <w:r>
        <w:rPr>
          <w:rFonts w:ascii="Arial" w:hAnsi="Arial" w:cs="Arial"/>
          <w:sz w:val="20"/>
          <w:szCs w:val="24"/>
        </w:rPr>
        <w:t>CIP should be reviewed monthly and transferred into fixed assets on a timely basis when brought into use and depreciated thereafter.</w:t>
      </w:r>
    </w:p>
    <w:p w14:paraId="5526544A" w14:textId="77777777" w:rsidR="00DF7DFD" w:rsidRDefault="00DF7DFD" w:rsidP="00B5048D">
      <w:pPr>
        <w:pStyle w:val="ListParagraph"/>
        <w:spacing w:line="0" w:lineRule="atLeast"/>
        <w:ind w:left="360"/>
        <w:contextualSpacing/>
        <w:jc w:val="both"/>
        <w:rPr>
          <w:rFonts w:ascii="Arial" w:hAnsi="Arial" w:cs="Arial"/>
          <w:sz w:val="20"/>
        </w:rPr>
      </w:pPr>
    </w:p>
    <w:p w14:paraId="3A7C89C7"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Expenditures eligible for capitalization include expenditures on new items, extensions and improvements.  Costs that should be capitalized </w:t>
      </w:r>
      <w:proofErr w:type="gramStart"/>
      <w:r>
        <w:rPr>
          <w:rFonts w:ascii="Arial" w:hAnsi="Arial" w:cs="Arial"/>
          <w:sz w:val="20"/>
        </w:rPr>
        <w:t>include:</w:t>
      </w:r>
      <w:proofErr w:type="gramEnd"/>
      <w:r>
        <w:rPr>
          <w:rFonts w:ascii="Arial" w:hAnsi="Arial" w:cs="Arial"/>
          <w:sz w:val="20"/>
        </w:rPr>
        <w:t xml:space="preserve"> stamp duty; import duties and non-refundable purchase taxes; site preparation and clearance; initial delivery and handling costs; installation and commissioning costs and process engineering and design and direct project management. Start-up costs may only be capitalized if the asset cannot operate at normal levels without the start-up or commissioning period.  Start-up costs should be directly attributable to the asset.  Capitalization ends when substantially all the activities necessary to prepare the qualifying asset for its intended use or sale are complete.</w:t>
      </w:r>
    </w:p>
    <w:p w14:paraId="56BE6A8A" w14:textId="77777777" w:rsidR="00DF7DFD" w:rsidRDefault="00DF7DFD" w:rsidP="00B5048D">
      <w:pPr>
        <w:pStyle w:val="ListParagraph"/>
        <w:spacing w:line="0" w:lineRule="atLeast"/>
        <w:ind w:left="360"/>
        <w:contextualSpacing/>
        <w:jc w:val="both"/>
        <w:rPr>
          <w:rFonts w:ascii="Arial" w:hAnsi="Arial" w:cs="Arial"/>
          <w:sz w:val="20"/>
        </w:rPr>
      </w:pPr>
    </w:p>
    <w:p w14:paraId="620A0267" w14:textId="7373C50A" w:rsidR="00DF7DFD" w:rsidRDefault="00B96F6E" w:rsidP="00B5048D">
      <w:pPr>
        <w:pStyle w:val="ListParagraph"/>
        <w:spacing w:line="0" w:lineRule="atLeast"/>
        <w:ind w:left="360"/>
        <w:contextualSpacing/>
        <w:jc w:val="both"/>
        <w:rPr>
          <w:rFonts w:ascii="Arial" w:hAnsi="Arial" w:cs="Arial"/>
          <w:sz w:val="20"/>
        </w:rPr>
      </w:pPr>
      <w:r>
        <w:rPr>
          <w:rFonts w:ascii="Arial" w:hAnsi="Arial" w:cs="Arial"/>
          <w:sz w:val="20"/>
        </w:rPr>
        <w:t xml:space="preserve">Certain costs related to the development of </w:t>
      </w:r>
      <w:proofErr w:type="gramStart"/>
      <w:r>
        <w:rPr>
          <w:rFonts w:ascii="Arial" w:hAnsi="Arial" w:cs="Arial"/>
          <w:sz w:val="20"/>
        </w:rPr>
        <w:t>internal-use</w:t>
      </w:r>
      <w:proofErr w:type="gramEnd"/>
      <w:r>
        <w:rPr>
          <w:rFonts w:ascii="Arial" w:hAnsi="Arial" w:cs="Arial"/>
          <w:sz w:val="20"/>
        </w:rPr>
        <w:t xml:space="preserve"> </w:t>
      </w:r>
      <w:r w:rsidR="00E470A5">
        <w:rPr>
          <w:rFonts w:ascii="Arial" w:hAnsi="Arial" w:cs="Arial"/>
          <w:sz w:val="20"/>
        </w:rPr>
        <w:t>software</w:t>
      </w:r>
      <w:r>
        <w:rPr>
          <w:rFonts w:ascii="Arial" w:hAnsi="Arial" w:cs="Arial"/>
          <w:sz w:val="20"/>
        </w:rPr>
        <w:t xml:space="preserve"> are capitalized, as discussed in section 11.3 below.  A portion of the salaries of full-time employees (“FTE’s”) may be capitalized to the extent that they have performed activities that directly meet the criteria for capitalization.  RTEs inherently spend some of their time involved in Company administrative or other activities; therefore, it is expected that the amount of an FTE’s salary that is capitalized will be less than 100% of their salary.  Judgment shall be used to determine the appropriate amount of salary to capitalize.</w:t>
      </w:r>
      <w:r w:rsidR="00F62BB8">
        <w:rPr>
          <w:rFonts w:ascii="Arial" w:hAnsi="Arial" w:cs="Arial"/>
          <w:sz w:val="20"/>
        </w:rPr>
        <w:t xml:space="preserve">  Administration and general overhead costs are not eligible to be capitalized.</w:t>
      </w:r>
    </w:p>
    <w:p w14:paraId="350B1431" w14:textId="77777777" w:rsidR="00DF7DFD" w:rsidRDefault="00DF7DFD" w:rsidP="00B5048D">
      <w:pPr>
        <w:pStyle w:val="ListParagraph"/>
        <w:spacing w:line="0" w:lineRule="atLeast"/>
        <w:ind w:left="360"/>
        <w:contextualSpacing/>
        <w:jc w:val="both"/>
        <w:rPr>
          <w:rFonts w:ascii="Arial" w:hAnsi="Arial" w:cs="Arial"/>
          <w:sz w:val="20"/>
        </w:rPr>
      </w:pPr>
    </w:p>
    <w:p w14:paraId="05126F6D" w14:textId="14DE155E"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Borrowing costs directly attributable to the acquisition, construction or production of a qualifying asset should be capitalized.  A qualifying asset is any asset that takes a substantial </w:t>
      </w:r>
      <w:proofErr w:type="gramStart"/>
      <w:r>
        <w:rPr>
          <w:rFonts w:ascii="Arial" w:hAnsi="Arial" w:cs="Arial"/>
          <w:sz w:val="20"/>
        </w:rPr>
        <w:t>period of time</w:t>
      </w:r>
      <w:proofErr w:type="gramEnd"/>
      <w:r>
        <w:rPr>
          <w:rFonts w:ascii="Arial" w:hAnsi="Arial" w:cs="Arial"/>
          <w:sz w:val="20"/>
        </w:rPr>
        <w:t xml:space="preserve"> to get ready for its intended use. A substantial period is defined as being any period </w:t>
      </w:r>
      <w:proofErr w:type="gramStart"/>
      <w:r>
        <w:rPr>
          <w:rFonts w:ascii="Arial" w:hAnsi="Arial" w:cs="Arial"/>
          <w:sz w:val="20"/>
        </w:rPr>
        <w:t>in excess of</w:t>
      </w:r>
      <w:proofErr w:type="gramEnd"/>
      <w:r>
        <w:rPr>
          <w:rFonts w:ascii="Arial" w:hAnsi="Arial" w:cs="Arial"/>
          <w:sz w:val="20"/>
        </w:rPr>
        <w:t xml:space="preserve"> 1 year (i.e., 12 months).  Any intended capitalization of interest should first be agreed in writing with </w:t>
      </w:r>
      <w:r w:rsidRPr="00B557C9">
        <w:rPr>
          <w:rFonts w:ascii="Arial" w:hAnsi="Arial" w:cs="Arial"/>
          <w:sz w:val="20"/>
        </w:rPr>
        <w:t>the</w:t>
      </w:r>
      <w:r w:rsidR="0026088A" w:rsidRPr="00B557C9">
        <w:rPr>
          <w:rFonts w:ascii="Arial" w:hAnsi="Arial" w:cs="Arial"/>
          <w:sz w:val="20"/>
        </w:rPr>
        <w:t xml:space="preserve"> Dir, TA</w:t>
      </w:r>
      <w:r w:rsidRPr="00B557C9">
        <w:rPr>
          <w:rFonts w:ascii="Arial" w:hAnsi="Arial" w:cs="Arial"/>
          <w:sz w:val="20"/>
        </w:rPr>
        <w:t>. Costs</w:t>
      </w:r>
      <w:r>
        <w:rPr>
          <w:rFonts w:ascii="Arial" w:hAnsi="Arial" w:cs="Arial"/>
          <w:sz w:val="20"/>
        </w:rPr>
        <w:t xml:space="preserve"> should be capitalized from the moment each of the following </w:t>
      </w:r>
      <w:proofErr w:type="gramStart"/>
      <w:r>
        <w:rPr>
          <w:rFonts w:ascii="Arial" w:hAnsi="Arial" w:cs="Arial"/>
          <w:sz w:val="20"/>
        </w:rPr>
        <w:t>are</w:t>
      </w:r>
      <w:proofErr w:type="gramEnd"/>
      <w:r>
        <w:rPr>
          <w:rFonts w:ascii="Arial" w:hAnsi="Arial" w:cs="Arial"/>
          <w:sz w:val="20"/>
        </w:rPr>
        <w:t xml:space="preserve"> met:</w:t>
      </w:r>
    </w:p>
    <w:p w14:paraId="2F4950FC" w14:textId="77777777" w:rsidR="00DF7DFD" w:rsidRDefault="00F62BB8" w:rsidP="00B5048D">
      <w:pPr>
        <w:pStyle w:val="ListParagraph"/>
        <w:numPr>
          <w:ilvl w:val="1"/>
          <w:numId w:val="25"/>
        </w:numPr>
        <w:spacing w:line="0" w:lineRule="atLeast"/>
        <w:ind w:left="1080"/>
        <w:contextualSpacing/>
        <w:jc w:val="both"/>
        <w:rPr>
          <w:rFonts w:ascii="Arial" w:hAnsi="Arial" w:cs="Arial"/>
          <w:sz w:val="20"/>
        </w:rPr>
      </w:pPr>
      <w:r>
        <w:rPr>
          <w:rFonts w:ascii="Arial" w:hAnsi="Arial" w:cs="Arial"/>
          <w:sz w:val="20"/>
        </w:rPr>
        <w:t>expenditures for the asset are incurred;</w:t>
      </w:r>
    </w:p>
    <w:p w14:paraId="2AB4A9B7" w14:textId="77777777" w:rsidR="00DF7DFD" w:rsidRDefault="00F62BB8" w:rsidP="00B5048D">
      <w:pPr>
        <w:pStyle w:val="ListParagraph"/>
        <w:numPr>
          <w:ilvl w:val="1"/>
          <w:numId w:val="25"/>
        </w:numPr>
        <w:spacing w:line="0" w:lineRule="atLeast"/>
        <w:ind w:left="1080"/>
        <w:contextualSpacing/>
        <w:jc w:val="both"/>
        <w:rPr>
          <w:rFonts w:ascii="Arial" w:hAnsi="Arial" w:cs="Arial"/>
          <w:sz w:val="20"/>
        </w:rPr>
      </w:pPr>
      <w:r>
        <w:rPr>
          <w:rFonts w:ascii="Arial" w:hAnsi="Arial" w:cs="Arial"/>
          <w:sz w:val="20"/>
        </w:rPr>
        <w:t>borrowing costs are incurred; and</w:t>
      </w:r>
    </w:p>
    <w:p w14:paraId="6FDFA6F9" w14:textId="77777777" w:rsidR="00DF7DFD" w:rsidRDefault="00F62BB8" w:rsidP="00B5048D">
      <w:pPr>
        <w:pStyle w:val="ListParagraph"/>
        <w:numPr>
          <w:ilvl w:val="1"/>
          <w:numId w:val="25"/>
        </w:numPr>
        <w:spacing w:line="0" w:lineRule="atLeast"/>
        <w:ind w:left="1080"/>
        <w:contextualSpacing/>
        <w:jc w:val="both"/>
        <w:rPr>
          <w:rFonts w:ascii="Arial" w:hAnsi="Arial" w:cs="Arial"/>
          <w:sz w:val="20"/>
        </w:rPr>
      </w:pPr>
      <w:r>
        <w:rPr>
          <w:rFonts w:ascii="Arial" w:hAnsi="Arial" w:cs="Arial"/>
          <w:sz w:val="20"/>
        </w:rPr>
        <w:t>activities that are necessary to prepare the asset for its intended use are undertaken.</w:t>
      </w:r>
    </w:p>
    <w:p w14:paraId="721581F6" w14:textId="77777777" w:rsidR="00DF7DFD" w:rsidRDefault="00DF7DFD" w:rsidP="00B5048D">
      <w:pPr>
        <w:spacing w:line="0" w:lineRule="atLeast"/>
        <w:ind w:left="270"/>
        <w:jc w:val="both"/>
        <w:rPr>
          <w:rFonts w:ascii="Arial" w:hAnsi="Arial" w:cs="Arial"/>
          <w:sz w:val="20"/>
        </w:rPr>
      </w:pPr>
    </w:p>
    <w:p w14:paraId="3E279C99" w14:textId="71C04058" w:rsidR="00DF7DFD" w:rsidRDefault="00F62BB8" w:rsidP="00B5048D">
      <w:pPr>
        <w:pStyle w:val="ListParagraph"/>
        <w:spacing w:line="0" w:lineRule="atLeast"/>
        <w:ind w:left="360"/>
        <w:contextualSpacing/>
        <w:jc w:val="both"/>
        <w:rPr>
          <w:rFonts w:ascii="Arial" w:hAnsi="Arial" w:cs="Arial"/>
          <w:sz w:val="20"/>
        </w:rPr>
      </w:pPr>
      <w:proofErr w:type="gramStart"/>
      <w:r>
        <w:rPr>
          <w:rFonts w:ascii="Arial" w:hAnsi="Arial" w:cs="Arial"/>
          <w:sz w:val="20"/>
        </w:rPr>
        <w:t>Borrowing costs of</w:t>
      </w:r>
      <w:proofErr w:type="gramEnd"/>
      <w:r>
        <w:rPr>
          <w:rFonts w:ascii="Arial" w:hAnsi="Arial" w:cs="Arial"/>
          <w:sz w:val="20"/>
        </w:rPr>
        <w:t xml:space="preserve"> </w:t>
      </w:r>
      <w:proofErr w:type="gramStart"/>
      <w:r>
        <w:rPr>
          <w:rFonts w:ascii="Arial" w:hAnsi="Arial" w:cs="Arial"/>
          <w:sz w:val="20"/>
        </w:rPr>
        <w:t>loans specifically</w:t>
      </w:r>
      <w:proofErr w:type="gramEnd"/>
      <w:r>
        <w:rPr>
          <w:rFonts w:ascii="Arial" w:hAnsi="Arial" w:cs="Arial"/>
          <w:sz w:val="20"/>
        </w:rPr>
        <w:t xml:space="preserve"> required to fund capital projects should be capitalized.  All capital projects are expected to be funded by the Company’s treasury function. In these </w:t>
      </w:r>
      <w:proofErr w:type="gramStart"/>
      <w:r>
        <w:rPr>
          <w:rFonts w:ascii="Arial" w:hAnsi="Arial" w:cs="Arial"/>
          <w:sz w:val="20"/>
        </w:rPr>
        <w:t>instances</w:t>
      </w:r>
      <w:proofErr w:type="gramEnd"/>
      <w:r>
        <w:rPr>
          <w:rFonts w:ascii="Arial" w:hAnsi="Arial" w:cs="Arial"/>
          <w:sz w:val="20"/>
        </w:rPr>
        <w:t xml:space="preserve"> the amount of borrowing costs eligible for capitalization shall be determined by applying a capitalization rate to the </w:t>
      </w:r>
      <w:proofErr w:type="gramStart"/>
      <w:r>
        <w:rPr>
          <w:rFonts w:ascii="Arial" w:hAnsi="Arial" w:cs="Arial"/>
          <w:sz w:val="20"/>
        </w:rPr>
        <w:t>expenditures</w:t>
      </w:r>
      <w:proofErr w:type="gramEnd"/>
      <w:r>
        <w:rPr>
          <w:rFonts w:ascii="Arial" w:hAnsi="Arial" w:cs="Arial"/>
          <w:sz w:val="20"/>
        </w:rPr>
        <w:t xml:space="preserve"> on that asset. This capitalization rate should be based on the Company’s </w:t>
      </w:r>
      <w:proofErr w:type="gramStart"/>
      <w:r>
        <w:rPr>
          <w:rFonts w:ascii="Arial" w:hAnsi="Arial" w:cs="Arial"/>
          <w:sz w:val="20"/>
        </w:rPr>
        <w:t>weighted</w:t>
      </w:r>
      <w:proofErr w:type="gramEnd"/>
      <w:r>
        <w:rPr>
          <w:rFonts w:ascii="Arial" w:hAnsi="Arial" w:cs="Arial"/>
          <w:sz w:val="20"/>
        </w:rPr>
        <w:t xml:space="preserve"> average cost of borrowings, which should be obtained from </w:t>
      </w:r>
      <w:r w:rsidRPr="00B557C9">
        <w:rPr>
          <w:rFonts w:ascii="Arial" w:hAnsi="Arial" w:cs="Arial"/>
          <w:sz w:val="20"/>
        </w:rPr>
        <w:t>the</w:t>
      </w:r>
      <w:r w:rsidR="0069782A" w:rsidRPr="00B557C9">
        <w:rPr>
          <w:rFonts w:ascii="Arial" w:hAnsi="Arial" w:cs="Arial"/>
          <w:sz w:val="20"/>
        </w:rPr>
        <w:t xml:space="preserve"> Treasur</w:t>
      </w:r>
      <w:r w:rsidR="0069782A" w:rsidRPr="009D7A9F">
        <w:rPr>
          <w:rFonts w:ascii="Arial" w:hAnsi="Arial" w:cs="Arial"/>
          <w:sz w:val="20"/>
        </w:rPr>
        <w:t>er</w:t>
      </w:r>
      <w:r w:rsidRPr="00B557C9">
        <w:rPr>
          <w:rFonts w:ascii="Arial" w:hAnsi="Arial"/>
          <w:sz w:val="20"/>
        </w:rPr>
        <w:t>.</w:t>
      </w:r>
    </w:p>
    <w:p w14:paraId="10AF7885" w14:textId="77777777" w:rsidR="00DF7DFD" w:rsidRDefault="00DF7DFD" w:rsidP="00B5048D">
      <w:pPr>
        <w:pStyle w:val="ListParagraph"/>
        <w:spacing w:line="0" w:lineRule="atLeast"/>
        <w:ind w:left="360"/>
        <w:contextualSpacing/>
        <w:jc w:val="both"/>
        <w:rPr>
          <w:rFonts w:ascii="Arial" w:hAnsi="Arial" w:cs="Arial"/>
          <w:sz w:val="20"/>
        </w:rPr>
      </w:pPr>
    </w:p>
    <w:p w14:paraId="36AF3F1D"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Expenditure on renewals or replacements should be capitalized and the historic cost and accumulated depreciation of the item replaced should be written off as a disposal.  Major project expenditure to enhance existing fixed assets may be capitalized providing that any previous capital expenditure which is redundant is written off.  </w:t>
      </w:r>
      <w:proofErr w:type="gramStart"/>
      <w:r>
        <w:rPr>
          <w:rFonts w:ascii="Arial" w:hAnsi="Arial" w:cs="Arial"/>
          <w:sz w:val="20"/>
        </w:rPr>
        <w:t>Expenditures</w:t>
      </w:r>
      <w:proofErr w:type="gramEnd"/>
      <w:r>
        <w:rPr>
          <w:rFonts w:ascii="Arial" w:hAnsi="Arial" w:cs="Arial"/>
          <w:sz w:val="20"/>
        </w:rPr>
        <w:t xml:space="preserve"> on the repairs and maintenance of fixed assets should be </w:t>
      </w:r>
      <w:proofErr w:type="gramStart"/>
      <w:r>
        <w:rPr>
          <w:rFonts w:ascii="Arial" w:hAnsi="Arial" w:cs="Arial"/>
          <w:sz w:val="20"/>
        </w:rPr>
        <w:t>expensed</w:t>
      </w:r>
      <w:proofErr w:type="gramEnd"/>
      <w:r>
        <w:rPr>
          <w:rFonts w:ascii="Arial" w:hAnsi="Arial" w:cs="Arial"/>
          <w:sz w:val="20"/>
        </w:rPr>
        <w:t xml:space="preserve"> as incurred.  Where repairs and maintenance cannot be differentiated from renewals and replacements, their cost should normally be </w:t>
      </w:r>
      <w:proofErr w:type="gramStart"/>
      <w:r>
        <w:rPr>
          <w:rFonts w:ascii="Arial" w:hAnsi="Arial" w:cs="Arial"/>
          <w:sz w:val="20"/>
        </w:rPr>
        <w:t>written off</w:t>
      </w:r>
      <w:proofErr w:type="gramEnd"/>
      <w:r>
        <w:rPr>
          <w:rFonts w:ascii="Arial" w:hAnsi="Arial" w:cs="Arial"/>
          <w:sz w:val="20"/>
        </w:rPr>
        <w:t>.</w:t>
      </w:r>
    </w:p>
    <w:p w14:paraId="7C15093C" w14:textId="77777777" w:rsidR="00DF7DFD" w:rsidRDefault="00DF7DFD" w:rsidP="00B5048D">
      <w:pPr>
        <w:pStyle w:val="ListParagraph"/>
        <w:spacing w:line="0" w:lineRule="atLeast"/>
        <w:ind w:left="0" w:firstLine="360"/>
        <w:contextualSpacing/>
        <w:jc w:val="both"/>
        <w:rPr>
          <w:rFonts w:ascii="Arial" w:hAnsi="Arial" w:cs="Arial"/>
          <w:b/>
          <w:sz w:val="20"/>
        </w:rPr>
      </w:pPr>
    </w:p>
    <w:p w14:paraId="4E102A7F" w14:textId="77777777" w:rsidR="00DF7DFD" w:rsidRDefault="00F62BB8" w:rsidP="00B5048D">
      <w:pPr>
        <w:pStyle w:val="ListParagraph"/>
        <w:spacing w:line="0" w:lineRule="atLeast"/>
        <w:ind w:left="0" w:firstLine="360"/>
        <w:contextualSpacing/>
        <w:jc w:val="both"/>
        <w:rPr>
          <w:rFonts w:ascii="Century Gothic" w:hAnsi="Century Gothic" w:cs="Arial"/>
          <w:b/>
          <w:sz w:val="20"/>
        </w:rPr>
      </w:pPr>
      <w:r>
        <w:rPr>
          <w:rFonts w:ascii="Century Gothic" w:hAnsi="Century Gothic" w:cs="Arial"/>
          <w:b/>
          <w:sz w:val="20"/>
        </w:rPr>
        <w:t xml:space="preserve">11.2 </w:t>
      </w:r>
      <w:bookmarkStart w:id="47" w:name="Deprecitation"/>
      <w:r>
        <w:rPr>
          <w:rFonts w:ascii="Century Gothic" w:hAnsi="Century Gothic" w:cs="Arial"/>
          <w:b/>
          <w:sz w:val="20"/>
        </w:rPr>
        <w:t>Depreciation</w:t>
      </w:r>
      <w:bookmarkEnd w:id="47"/>
    </w:p>
    <w:p w14:paraId="6A1D196F" w14:textId="3282CBE7" w:rsidR="005E2BEF"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The fixed asset should be depreciated on a </w:t>
      </w:r>
      <w:r w:rsidR="00BE177C">
        <w:rPr>
          <w:rFonts w:ascii="Arial" w:hAnsi="Arial" w:cs="Arial"/>
          <w:sz w:val="20"/>
        </w:rPr>
        <w:t>straight-line</w:t>
      </w:r>
      <w:r>
        <w:rPr>
          <w:rFonts w:ascii="Arial" w:hAnsi="Arial" w:cs="Arial"/>
          <w:sz w:val="20"/>
        </w:rPr>
        <w:t xml:space="preserve"> basis over the shorter of the asset’s estimated useful life, or the lease term if related to the leased property. Depreciation </w:t>
      </w:r>
      <w:r w:rsidR="00BE177C">
        <w:rPr>
          <w:rFonts w:ascii="Arial" w:hAnsi="Arial" w:cs="Arial"/>
          <w:sz w:val="20"/>
        </w:rPr>
        <w:t>commences</w:t>
      </w:r>
      <w:r>
        <w:rPr>
          <w:rFonts w:ascii="Arial" w:hAnsi="Arial" w:cs="Arial"/>
          <w:sz w:val="20"/>
        </w:rPr>
        <w:t xml:space="preserve"> in the month the asset is placed ‘in service’. The economic life and residual value of fixed assets should be kept under review (these should be reviewed at least on an annual basis) and any impairment provided for as determined necessary.  Depreciation rates should be accelerated if a change in expectations could have a material impact from the original estimate. </w:t>
      </w:r>
      <w:r w:rsidR="005E2BEF" w:rsidRPr="005E2BEF">
        <w:rPr>
          <w:rFonts w:ascii="Arial" w:hAnsi="Arial" w:cs="Arial"/>
          <w:sz w:val="20"/>
        </w:rPr>
        <w:t xml:space="preserve">If the Company commits to a plan </w:t>
      </w:r>
      <w:proofErr w:type="gramStart"/>
      <w:r w:rsidR="005E2BEF" w:rsidRPr="005E2BEF">
        <w:rPr>
          <w:rFonts w:ascii="Arial" w:hAnsi="Arial" w:cs="Arial"/>
          <w:sz w:val="20"/>
        </w:rPr>
        <w:t>take</w:t>
      </w:r>
      <w:proofErr w:type="gramEnd"/>
      <w:r w:rsidR="005E2BEF" w:rsidRPr="005E2BEF">
        <w:rPr>
          <w:rFonts w:ascii="Arial" w:hAnsi="Arial" w:cs="Arial"/>
          <w:sz w:val="20"/>
        </w:rPr>
        <w:t xml:space="preserve"> an asset(s) out of service (abandon) before the end of its previously estimated useful life, depreciation expense should be accelerated to reflect the use of the asset(s) over its shortened useful life.  </w:t>
      </w:r>
    </w:p>
    <w:p w14:paraId="4D167509" w14:textId="77777777" w:rsidR="005E2BEF" w:rsidRDefault="005E2BEF" w:rsidP="00B5048D">
      <w:pPr>
        <w:pStyle w:val="ListParagraph"/>
        <w:spacing w:line="0" w:lineRule="atLeast"/>
        <w:ind w:left="360"/>
        <w:contextualSpacing/>
        <w:jc w:val="both"/>
        <w:rPr>
          <w:rFonts w:ascii="Arial" w:hAnsi="Arial" w:cs="Arial"/>
          <w:sz w:val="20"/>
        </w:rPr>
      </w:pPr>
    </w:p>
    <w:p w14:paraId="5D3B32F6" w14:textId="58F31AE6"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Below are suggested useful lives (unless the useful life is inappropriate, based on the </w:t>
      </w:r>
      <w:r w:rsidR="005323FA">
        <w:rPr>
          <w:rFonts w:ascii="Arial" w:hAnsi="Arial" w:cs="Arial"/>
          <w:sz w:val="20"/>
        </w:rPr>
        <w:t>circumstances</w:t>
      </w:r>
      <w:r>
        <w:rPr>
          <w:rFonts w:ascii="Arial" w:hAnsi="Arial" w:cs="Arial"/>
          <w:sz w:val="20"/>
        </w:rPr>
        <w:t xml:space="preserve"> of the purchased asset)</w:t>
      </w:r>
      <w:r w:rsidR="00B5048D">
        <w:rPr>
          <w:rFonts w:ascii="Arial" w:hAnsi="Arial" w:cs="Arial"/>
          <w:sz w:val="20"/>
        </w:rPr>
        <w:t>.</w:t>
      </w:r>
    </w:p>
    <w:p w14:paraId="431EE5A1" w14:textId="77777777" w:rsidR="00DF7DFD" w:rsidRDefault="00DF7DFD" w:rsidP="00B5048D">
      <w:pPr>
        <w:spacing w:line="0" w:lineRule="atLeast"/>
        <w:ind w:left="720"/>
        <w:jc w:val="both"/>
        <w:rPr>
          <w:rFonts w:ascii="Arial" w:hAnsi="Arial" w:cs="Arial"/>
          <w:sz w:val="20"/>
        </w:rPr>
      </w:pPr>
    </w:p>
    <w:tbl>
      <w:tblPr>
        <w:tblStyle w:val="GridTable4-Accent1"/>
        <w:tblW w:w="0" w:type="auto"/>
        <w:tblInd w:w="715" w:type="dxa"/>
        <w:tblLayout w:type="fixed"/>
        <w:tblLook w:val="04A0" w:firstRow="1" w:lastRow="0" w:firstColumn="1" w:lastColumn="0" w:noHBand="0" w:noVBand="1"/>
      </w:tblPr>
      <w:tblGrid>
        <w:gridCol w:w="3363"/>
        <w:gridCol w:w="327"/>
        <w:gridCol w:w="4230"/>
      </w:tblGrid>
      <w:tr w:rsidR="00DF7DFD" w14:paraId="195820BE" w14:textId="77777777" w:rsidTr="009D7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tcPr>
          <w:p w14:paraId="135C184C" w14:textId="77777777" w:rsidR="00DF7DFD" w:rsidRPr="00393CBC" w:rsidRDefault="00F62BB8">
            <w:pPr>
              <w:spacing w:line="0" w:lineRule="atLeast"/>
              <w:jc w:val="center"/>
              <w:rPr>
                <w:rFonts w:ascii="Arial" w:hAnsi="Arial" w:cs="Arial"/>
                <w:color w:val="auto"/>
                <w:sz w:val="20"/>
              </w:rPr>
            </w:pPr>
            <w:r w:rsidRPr="00393CBC">
              <w:rPr>
                <w:rFonts w:ascii="Arial" w:hAnsi="Arial" w:cs="Arial"/>
                <w:color w:val="auto"/>
                <w:sz w:val="20"/>
              </w:rPr>
              <w:t>Asset</w:t>
            </w:r>
          </w:p>
        </w:tc>
        <w:tc>
          <w:tcPr>
            <w:tcW w:w="327" w:type="dxa"/>
          </w:tcPr>
          <w:p w14:paraId="4F1CE809" w14:textId="77777777" w:rsidR="00DF7DFD" w:rsidRPr="00393CBC" w:rsidRDefault="00DF7DFD">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p>
        </w:tc>
        <w:tc>
          <w:tcPr>
            <w:tcW w:w="4230" w:type="dxa"/>
          </w:tcPr>
          <w:p w14:paraId="22FE859A" w14:textId="77777777" w:rsidR="00DF7DFD" w:rsidRPr="00393CBC" w:rsidRDefault="00F62BB8">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393CBC">
              <w:rPr>
                <w:rFonts w:ascii="Arial" w:hAnsi="Arial" w:cs="Arial"/>
                <w:color w:val="auto"/>
                <w:sz w:val="20"/>
              </w:rPr>
              <w:t>Depreciation</w:t>
            </w:r>
          </w:p>
        </w:tc>
      </w:tr>
      <w:tr w:rsidR="00DF7DFD" w14:paraId="065114E8" w14:textId="77777777" w:rsidTr="009D7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tcPr>
          <w:p w14:paraId="64ECCA8D" w14:textId="77777777" w:rsidR="00DF7DFD" w:rsidRDefault="00F62BB8">
            <w:pPr>
              <w:spacing w:line="0" w:lineRule="atLeast"/>
              <w:jc w:val="both"/>
              <w:rPr>
                <w:rFonts w:ascii="Arial" w:hAnsi="Arial" w:cs="Arial"/>
                <w:sz w:val="20"/>
              </w:rPr>
            </w:pPr>
            <w:r>
              <w:rPr>
                <w:rFonts w:ascii="Arial" w:hAnsi="Arial" w:cs="Arial"/>
                <w:sz w:val="20"/>
              </w:rPr>
              <w:t>Computer Software</w:t>
            </w:r>
          </w:p>
        </w:tc>
        <w:tc>
          <w:tcPr>
            <w:tcW w:w="327" w:type="dxa"/>
          </w:tcPr>
          <w:p w14:paraId="6B235F88" w14:textId="77777777" w:rsidR="00DF7DFD" w:rsidRDefault="00DF7DFD">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230" w:type="dxa"/>
          </w:tcPr>
          <w:p w14:paraId="4714DC37" w14:textId="77777777" w:rsidR="00DF7DFD" w:rsidRDefault="00F62BB8" w:rsidP="00B24A52">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 years</w:t>
            </w:r>
          </w:p>
        </w:tc>
      </w:tr>
      <w:tr w:rsidR="00DF7DFD" w14:paraId="5B849B25" w14:textId="77777777" w:rsidTr="009D7A9F">
        <w:tc>
          <w:tcPr>
            <w:cnfStyle w:val="001000000000" w:firstRow="0" w:lastRow="0" w:firstColumn="1" w:lastColumn="0" w:oddVBand="0" w:evenVBand="0" w:oddHBand="0" w:evenHBand="0" w:firstRowFirstColumn="0" w:firstRowLastColumn="0" w:lastRowFirstColumn="0" w:lastRowLastColumn="0"/>
            <w:tcW w:w="3363" w:type="dxa"/>
          </w:tcPr>
          <w:p w14:paraId="6F9BC379" w14:textId="77777777" w:rsidR="00DF7DFD" w:rsidRDefault="00F62BB8">
            <w:pPr>
              <w:spacing w:line="0" w:lineRule="atLeast"/>
              <w:jc w:val="both"/>
              <w:rPr>
                <w:rFonts w:ascii="Arial" w:hAnsi="Arial" w:cs="Arial"/>
                <w:sz w:val="20"/>
              </w:rPr>
            </w:pPr>
            <w:r>
              <w:rPr>
                <w:rFonts w:ascii="Arial" w:hAnsi="Arial" w:cs="Arial"/>
                <w:sz w:val="20"/>
              </w:rPr>
              <w:t>Computer Hardware</w:t>
            </w:r>
          </w:p>
        </w:tc>
        <w:tc>
          <w:tcPr>
            <w:tcW w:w="327" w:type="dxa"/>
          </w:tcPr>
          <w:p w14:paraId="45A6E5D4" w14:textId="77777777" w:rsidR="00DF7DFD" w:rsidRDefault="00DF7DFD">
            <w:pPr>
              <w:spacing w:line="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230" w:type="dxa"/>
          </w:tcPr>
          <w:p w14:paraId="2ECBCD02" w14:textId="77777777" w:rsidR="00DF7DFD" w:rsidRDefault="00F62BB8" w:rsidP="00B24A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5 years</w:t>
            </w:r>
          </w:p>
        </w:tc>
      </w:tr>
      <w:tr w:rsidR="00DF7DFD" w14:paraId="7F5C484D" w14:textId="77777777" w:rsidTr="009D7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tcPr>
          <w:p w14:paraId="0940B6FB" w14:textId="77777777" w:rsidR="00DF7DFD" w:rsidRDefault="00F62BB8">
            <w:pPr>
              <w:spacing w:line="0" w:lineRule="atLeast"/>
              <w:jc w:val="both"/>
              <w:rPr>
                <w:rFonts w:ascii="Arial" w:hAnsi="Arial" w:cs="Arial"/>
                <w:sz w:val="20"/>
              </w:rPr>
            </w:pPr>
            <w:r>
              <w:rPr>
                <w:rFonts w:ascii="Arial" w:hAnsi="Arial" w:cs="Arial"/>
                <w:sz w:val="20"/>
              </w:rPr>
              <w:t>Furniture and Fixtures</w:t>
            </w:r>
          </w:p>
        </w:tc>
        <w:tc>
          <w:tcPr>
            <w:tcW w:w="327" w:type="dxa"/>
          </w:tcPr>
          <w:p w14:paraId="12B87B2D" w14:textId="77777777" w:rsidR="00DF7DFD" w:rsidRDefault="00DF7DFD">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230" w:type="dxa"/>
          </w:tcPr>
          <w:p w14:paraId="4A5A2578" w14:textId="77777777" w:rsidR="00DF7DFD" w:rsidRDefault="00F62BB8" w:rsidP="00B24A52">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7 years</w:t>
            </w:r>
          </w:p>
        </w:tc>
      </w:tr>
      <w:tr w:rsidR="00DF7DFD" w14:paraId="3C5BEA96" w14:textId="77777777" w:rsidTr="009D7A9F">
        <w:tc>
          <w:tcPr>
            <w:cnfStyle w:val="001000000000" w:firstRow="0" w:lastRow="0" w:firstColumn="1" w:lastColumn="0" w:oddVBand="0" w:evenVBand="0" w:oddHBand="0" w:evenHBand="0" w:firstRowFirstColumn="0" w:firstRowLastColumn="0" w:lastRowFirstColumn="0" w:lastRowLastColumn="0"/>
            <w:tcW w:w="3363" w:type="dxa"/>
          </w:tcPr>
          <w:p w14:paraId="124EBEC4" w14:textId="77777777" w:rsidR="00DF7DFD" w:rsidRDefault="00F62BB8">
            <w:pPr>
              <w:spacing w:line="0" w:lineRule="atLeast"/>
              <w:jc w:val="both"/>
              <w:rPr>
                <w:rFonts w:ascii="Arial" w:hAnsi="Arial" w:cs="Arial"/>
                <w:sz w:val="20"/>
              </w:rPr>
            </w:pPr>
            <w:r>
              <w:rPr>
                <w:rFonts w:ascii="Arial" w:hAnsi="Arial" w:cs="Arial"/>
                <w:sz w:val="20"/>
              </w:rPr>
              <w:t>Machinery and Equipment</w:t>
            </w:r>
          </w:p>
        </w:tc>
        <w:tc>
          <w:tcPr>
            <w:tcW w:w="327" w:type="dxa"/>
          </w:tcPr>
          <w:p w14:paraId="71F9245D" w14:textId="77777777" w:rsidR="00DF7DFD" w:rsidRDefault="00DF7DFD">
            <w:pPr>
              <w:spacing w:line="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230" w:type="dxa"/>
          </w:tcPr>
          <w:p w14:paraId="7DF508B4" w14:textId="77777777" w:rsidR="00DF7DFD" w:rsidRDefault="00F62BB8" w:rsidP="00B24A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7 years</w:t>
            </w:r>
          </w:p>
        </w:tc>
      </w:tr>
      <w:tr w:rsidR="00DF7DFD" w14:paraId="3CCCE846" w14:textId="77777777" w:rsidTr="009D7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tcPr>
          <w:p w14:paraId="2D434673" w14:textId="77777777" w:rsidR="00DF7DFD" w:rsidRDefault="00F62BB8">
            <w:pPr>
              <w:spacing w:line="0" w:lineRule="atLeast"/>
              <w:jc w:val="both"/>
              <w:rPr>
                <w:rFonts w:ascii="Arial" w:hAnsi="Arial" w:cs="Arial"/>
                <w:sz w:val="20"/>
              </w:rPr>
            </w:pPr>
            <w:r>
              <w:rPr>
                <w:rFonts w:ascii="Arial" w:hAnsi="Arial" w:cs="Arial"/>
                <w:sz w:val="20"/>
              </w:rPr>
              <w:t>Leasehold Improvements</w:t>
            </w:r>
          </w:p>
        </w:tc>
        <w:tc>
          <w:tcPr>
            <w:tcW w:w="327" w:type="dxa"/>
          </w:tcPr>
          <w:p w14:paraId="08F267F9" w14:textId="77777777" w:rsidR="00DF7DFD" w:rsidRDefault="00DF7DFD">
            <w:pPr>
              <w:spacing w:line="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230" w:type="dxa"/>
          </w:tcPr>
          <w:p w14:paraId="568B65CA" w14:textId="39A72F1F" w:rsidR="00DF7DFD" w:rsidRDefault="00F62BB8" w:rsidP="00B24A52">
            <w:pPr>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7 years, or remaining term of lease if shorter*</w:t>
            </w:r>
          </w:p>
        </w:tc>
      </w:tr>
      <w:tr w:rsidR="00DF7DFD" w14:paraId="769F49AD" w14:textId="77777777" w:rsidTr="009D7A9F">
        <w:tc>
          <w:tcPr>
            <w:cnfStyle w:val="001000000000" w:firstRow="0" w:lastRow="0" w:firstColumn="1" w:lastColumn="0" w:oddVBand="0" w:evenVBand="0" w:oddHBand="0" w:evenHBand="0" w:firstRowFirstColumn="0" w:firstRowLastColumn="0" w:lastRowFirstColumn="0" w:lastRowLastColumn="0"/>
            <w:tcW w:w="3363" w:type="dxa"/>
          </w:tcPr>
          <w:p w14:paraId="1BF7A2DE" w14:textId="77777777" w:rsidR="00DF7DFD" w:rsidRDefault="00F62BB8">
            <w:pPr>
              <w:spacing w:line="0" w:lineRule="atLeast"/>
              <w:jc w:val="both"/>
              <w:rPr>
                <w:rFonts w:ascii="Arial" w:hAnsi="Arial" w:cs="Arial"/>
                <w:sz w:val="20"/>
              </w:rPr>
            </w:pPr>
            <w:r>
              <w:rPr>
                <w:rFonts w:ascii="Arial" w:hAnsi="Arial" w:cs="Arial"/>
                <w:sz w:val="20"/>
              </w:rPr>
              <w:t>Assets not yet in service</w:t>
            </w:r>
          </w:p>
        </w:tc>
        <w:tc>
          <w:tcPr>
            <w:tcW w:w="327" w:type="dxa"/>
          </w:tcPr>
          <w:p w14:paraId="062FE589" w14:textId="77777777" w:rsidR="00DF7DFD" w:rsidRDefault="00DF7DFD">
            <w:pPr>
              <w:spacing w:line="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230" w:type="dxa"/>
          </w:tcPr>
          <w:p w14:paraId="768565CC" w14:textId="77777777" w:rsidR="00DF7DFD" w:rsidRDefault="00F62BB8" w:rsidP="00B24A5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N/A</w:t>
            </w:r>
          </w:p>
        </w:tc>
      </w:tr>
    </w:tbl>
    <w:p w14:paraId="5C8CD202" w14:textId="77777777" w:rsidR="0099608B" w:rsidRDefault="0099608B" w:rsidP="000752C0">
      <w:pPr>
        <w:pStyle w:val="ListParagraph"/>
        <w:spacing w:line="0" w:lineRule="atLeast"/>
        <w:contextualSpacing/>
        <w:rPr>
          <w:rFonts w:ascii="Arial" w:hAnsi="Arial" w:cs="Arial"/>
          <w:i/>
          <w:sz w:val="18"/>
          <w:szCs w:val="18"/>
        </w:rPr>
      </w:pPr>
    </w:p>
    <w:p w14:paraId="73A39F77" w14:textId="54DAE5E3" w:rsidR="00DF7DFD" w:rsidRPr="00F95F70" w:rsidRDefault="00F62BB8" w:rsidP="000752C0">
      <w:pPr>
        <w:pStyle w:val="ListParagraph"/>
        <w:spacing w:line="0" w:lineRule="atLeast"/>
        <w:contextualSpacing/>
        <w:rPr>
          <w:rFonts w:ascii="Arial" w:hAnsi="Arial" w:cs="Arial"/>
          <w:i/>
          <w:sz w:val="18"/>
          <w:szCs w:val="18"/>
        </w:rPr>
      </w:pPr>
      <w:r w:rsidRPr="00F95F70">
        <w:rPr>
          <w:rFonts w:ascii="Arial" w:hAnsi="Arial" w:cs="Arial"/>
          <w:i/>
          <w:sz w:val="18"/>
          <w:szCs w:val="18"/>
        </w:rPr>
        <w:t>*</w:t>
      </w:r>
      <w:r w:rsidR="00CA4646">
        <w:rPr>
          <w:rFonts w:ascii="Arial" w:hAnsi="Arial" w:cs="Arial"/>
          <w:i/>
          <w:sz w:val="18"/>
          <w:szCs w:val="18"/>
        </w:rPr>
        <w:t xml:space="preserve">Leasehold improvements (LHI) </w:t>
      </w:r>
      <w:r w:rsidR="00F66863">
        <w:rPr>
          <w:rFonts w:ascii="Arial" w:hAnsi="Arial" w:cs="Arial"/>
          <w:i/>
          <w:sz w:val="18"/>
          <w:szCs w:val="18"/>
        </w:rPr>
        <w:t>should be amortized over the shorter of their estimated useful life or the remaining lease term, including any reasonably assured renewal periods</w:t>
      </w:r>
      <w:r w:rsidR="00CA4646">
        <w:rPr>
          <w:rFonts w:ascii="Arial" w:hAnsi="Arial" w:cs="Arial"/>
          <w:i/>
          <w:sz w:val="18"/>
          <w:szCs w:val="18"/>
        </w:rPr>
        <w:t xml:space="preserve">, </w:t>
      </w:r>
      <w:r w:rsidR="00F66863">
        <w:rPr>
          <w:rFonts w:ascii="Arial" w:hAnsi="Arial" w:cs="Arial"/>
          <w:i/>
          <w:sz w:val="18"/>
          <w:szCs w:val="18"/>
        </w:rPr>
        <w:t xml:space="preserve">The estimated useful life of the LHI </w:t>
      </w:r>
      <w:r w:rsidR="00220428">
        <w:rPr>
          <w:rFonts w:ascii="Arial" w:hAnsi="Arial" w:cs="Arial"/>
          <w:i/>
          <w:sz w:val="18"/>
          <w:szCs w:val="18"/>
        </w:rPr>
        <w:t xml:space="preserve">is </w:t>
      </w:r>
      <w:r w:rsidR="00F66863">
        <w:rPr>
          <w:rFonts w:ascii="Arial" w:hAnsi="Arial" w:cs="Arial"/>
          <w:i/>
          <w:sz w:val="18"/>
          <w:szCs w:val="18"/>
        </w:rPr>
        <w:t>should be determined based on the nature of the improvement and its expected longevity</w:t>
      </w:r>
      <w:r w:rsidR="00FD7ACA">
        <w:rPr>
          <w:rFonts w:ascii="Arial" w:hAnsi="Arial" w:cs="Arial"/>
          <w:i/>
          <w:sz w:val="18"/>
          <w:szCs w:val="18"/>
        </w:rPr>
        <w:t>, which is generally up to 7 years based on most LHI installed by the Company</w:t>
      </w:r>
      <w:r w:rsidR="00F66863">
        <w:rPr>
          <w:rFonts w:ascii="Arial" w:hAnsi="Arial" w:cs="Arial"/>
          <w:i/>
          <w:sz w:val="18"/>
          <w:szCs w:val="18"/>
        </w:rPr>
        <w:t xml:space="preserve">, </w:t>
      </w:r>
      <w:r w:rsidR="00FD7ACA">
        <w:rPr>
          <w:rFonts w:ascii="Arial" w:hAnsi="Arial" w:cs="Arial"/>
          <w:i/>
          <w:sz w:val="18"/>
          <w:szCs w:val="18"/>
        </w:rPr>
        <w:t>However, i</w:t>
      </w:r>
      <w:r w:rsidRPr="00F95F70">
        <w:rPr>
          <w:rFonts w:ascii="Arial" w:hAnsi="Arial" w:cs="Arial"/>
          <w:i/>
          <w:sz w:val="18"/>
          <w:szCs w:val="18"/>
        </w:rPr>
        <w:t xml:space="preserve">f the leasehold improvement is expected to have a useful life less than the remaining term of the associated lease, the asset should be depreciated over the remaining useful life. (E.g., if carpeting is </w:t>
      </w:r>
      <w:proofErr w:type="gramStart"/>
      <w:r w:rsidRPr="00F95F70">
        <w:rPr>
          <w:rFonts w:ascii="Arial" w:hAnsi="Arial" w:cs="Arial"/>
          <w:i/>
          <w:sz w:val="18"/>
          <w:szCs w:val="18"/>
        </w:rPr>
        <w:t>installed that</w:t>
      </w:r>
      <w:proofErr w:type="gramEnd"/>
      <w:r w:rsidRPr="00F95F70">
        <w:rPr>
          <w:rFonts w:ascii="Arial" w:hAnsi="Arial" w:cs="Arial"/>
          <w:i/>
          <w:sz w:val="18"/>
          <w:szCs w:val="18"/>
        </w:rPr>
        <w:t xml:space="preserve"> is expected to last 7 years, but the least term is 10 years, then the depreciation period should be only 7 years</w:t>
      </w:r>
      <w:proofErr w:type="gramStart"/>
      <w:r w:rsidRPr="00F95F70">
        <w:rPr>
          <w:rFonts w:ascii="Arial" w:hAnsi="Arial" w:cs="Arial"/>
          <w:i/>
          <w:sz w:val="18"/>
          <w:szCs w:val="18"/>
        </w:rPr>
        <w:t>).</w:t>
      </w:r>
      <w:proofErr w:type="gramEnd"/>
      <w:r w:rsidRPr="00F95F70">
        <w:rPr>
          <w:rFonts w:ascii="Arial" w:hAnsi="Arial" w:cs="Arial"/>
          <w:i/>
          <w:sz w:val="18"/>
          <w:szCs w:val="18"/>
        </w:rPr>
        <w:t xml:space="preserve"> </w:t>
      </w:r>
      <w:r w:rsidR="00FD7ACA">
        <w:rPr>
          <w:rFonts w:ascii="Arial" w:hAnsi="Arial" w:cs="Arial"/>
          <w:i/>
          <w:sz w:val="18"/>
          <w:szCs w:val="18"/>
        </w:rPr>
        <w:t>Alternatively, i</w:t>
      </w:r>
      <w:r w:rsidRPr="00F95F70">
        <w:rPr>
          <w:rFonts w:ascii="Arial" w:hAnsi="Arial" w:cs="Arial"/>
          <w:i/>
          <w:sz w:val="18"/>
          <w:szCs w:val="18"/>
        </w:rPr>
        <w:t>f the leasehold improvement is expected to have a useful life that is equal to or greater than the term of the lease, then depreciate the asset over the remaining lease term.</w:t>
      </w:r>
      <w:r w:rsidR="00220428">
        <w:rPr>
          <w:rFonts w:ascii="Arial" w:hAnsi="Arial" w:cs="Arial"/>
          <w:i/>
          <w:sz w:val="18"/>
          <w:szCs w:val="18"/>
        </w:rPr>
        <w:t xml:space="preserve"> </w:t>
      </w:r>
    </w:p>
    <w:p w14:paraId="2FB84363" w14:textId="77777777" w:rsidR="00B03341" w:rsidRPr="00F95F70" w:rsidRDefault="00B03341" w:rsidP="00FC279A">
      <w:pPr>
        <w:pStyle w:val="ListParagraph"/>
        <w:spacing w:line="0" w:lineRule="atLeast"/>
        <w:ind w:left="1440"/>
        <w:contextualSpacing/>
        <w:jc w:val="both"/>
        <w:rPr>
          <w:rFonts w:ascii="Arial" w:hAnsi="Arial" w:cs="Arial"/>
          <w:sz w:val="16"/>
          <w:szCs w:val="16"/>
        </w:rPr>
      </w:pPr>
    </w:p>
    <w:p w14:paraId="29410B8C" w14:textId="6C1F1E2D" w:rsidR="004268BA" w:rsidRDefault="004268BA" w:rsidP="00B5048D">
      <w:pPr>
        <w:rPr>
          <w:rFonts w:ascii="Century Gothic" w:hAnsi="Century Gothic" w:cs="Arial"/>
          <w:b/>
          <w:sz w:val="20"/>
        </w:rPr>
      </w:pPr>
    </w:p>
    <w:p w14:paraId="401D5F6A" w14:textId="4CA3214B" w:rsidR="00DF7DFD" w:rsidRDefault="00F62BB8" w:rsidP="00B5048D">
      <w:pPr>
        <w:spacing w:line="0" w:lineRule="atLeast"/>
        <w:ind w:firstLine="360"/>
        <w:jc w:val="both"/>
        <w:rPr>
          <w:rFonts w:ascii="Century Gothic" w:hAnsi="Century Gothic" w:cs="Arial"/>
          <w:sz w:val="20"/>
        </w:rPr>
      </w:pPr>
      <w:r>
        <w:rPr>
          <w:rFonts w:ascii="Century Gothic" w:hAnsi="Century Gothic" w:cs="Arial"/>
          <w:b/>
          <w:sz w:val="20"/>
        </w:rPr>
        <w:t xml:space="preserve">11.3 </w:t>
      </w:r>
      <w:bookmarkStart w:id="48" w:name="SWDevIntUse"/>
      <w:r>
        <w:rPr>
          <w:rFonts w:ascii="Century Gothic" w:hAnsi="Century Gothic" w:cs="Arial"/>
          <w:b/>
          <w:sz w:val="20"/>
        </w:rPr>
        <w:t xml:space="preserve">Software Developed for Internal Use </w:t>
      </w:r>
      <w:bookmarkEnd w:id="48"/>
    </w:p>
    <w:p w14:paraId="504DE1BD" w14:textId="5EFF8189" w:rsidR="00DF7DFD" w:rsidRDefault="00F62BB8" w:rsidP="009A1167">
      <w:pPr>
        <w:pStyle w:val="ListParagraph"/>
        <w:rPr>
          <w:rFonts w:ascii="Arial" w:hAnsi="Arial" w:cs="Arial"/>
          <w:sz w:val="20"/>
        </w:rPr>
      </w:pPr>
      <w:r>
        <w:rPr>
          <w:rFonts w:ascii="Arial" w:hAnsi="Arial" w:cs="Arial"/>
          <w:sz w:val="20"/>
        </w:rPr>
        <w:t xml:space="preserve">Certain expenses involved in developing internal software may be capitalized.  The development of internal-use software is divided into three stages: (a) preliminary project stage, (b) application development stage and (c) post-implementation/operation stage.  Examples of the activities that are performed during each stage are included in the table below. </w:t>
      </w:r>
    </w:p>
    <w:tbl>
      <w:tblPr>
        <w:tblStyle w:val="GridTable4-Accent1"/>
        <w:tblpPr w:leftFromText="180" w:rightFromText="180" w:vertAnchor="text" w:horzAnchor="page" w:tblpX="2128" w:tblpY="301"/>
        <w:tblW w:w="4175" w:type="pct"/>
        <w:tblLook w:val="04A0" w:firstRow="1" w:lastRow="0" w:firstColumn="1" w:lastColumn="0" w:noHBand="0" w:noVBand="1"/>
      </w:tblPr>
      <w:tblGrid>
        <w:gridCol w:w="2499"/>
        <w:gridCol w:w="3509"/>
        <w:gridCol w:w="2005"/>
      </w:tblGrid>
      <w:tr w:rsidR="00DF7DFD" w14:paraId="1E20C9F6" w14:textId="77777777" w:rsidTr="00B5048D">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99" w:type="dxa"/>
            <w:hideMark/>
          </w:tcPr>
          <w:p w14:paraId="21B31357" w14:textId="77777777" w:rsidR="00DF7DFD" w:rsidRPr="00393CBC" w:rsidRDefault="00F62BB8" w:rsidP="00F95F70">
            <w:pPr>
              <w:pStyle w:val="NormalWeb"/>
              <w:spacing w:line="0" w:lineRule="atLeast"/>
              <w:jc w:val="center"/>
              <w:rPr>
                <w:rFonts w:ascii="Arial" w:hAnsi="Arial" w:cs="Arial"/>
                <w:color w:val="auto"/>
                <w:sz w:val="20"/>
                <w:szCs w:val="20"/>
              </w:rPr>
            </w:pPr>
            <w:r w:rsidRPr="00393CBC">
              <w:rPr>
                <w:rFonts w:ascii="Arial" w:hAnsi="Arial" w:cs="Arial"/>
                <w:bCs w:val="0"/>
                <w:color w:val="auto"/>
                <w:sz w:val="20"/>
                <w:szCs w:val="20"/>
              </w:rPr>
              <w:t>Preliminary</w:t>
            </w:r>
            <w:r w:rsidRPr="00393CBC">
              <w:rPr>
                <w:rFonts w:ascii="Arial" w:hAnsi="Arial" w:cs="Arial"/>
                <w:bCs w:val="0"/>
                <w:color w:val="auto"/>
                <w:sz w:val="20"/>
                <w:szCs w:val="20"/>
              </w:rPr>
              <w:br/>
              <w:t>Project Stage</w:t>
            </w:r>
          </w:p>
        </w:tc>
        <w:tc>
          <w:tcPr>
            <w:tcW w:w="3509" w:type="dxa"/>
            <w:hideMark/>
          </w:tcPr>
          <w:p w14:paraId="6DF9B0BE" w14:textId="77777777" w:rsidR="00DF7DFD" w:rsidRPr="00393CBC" w:rsidRDefault="00F62BB8" w:rsidP="00F95F70">
            <w:pPr>
              <w:pStyle w:val="NormalWeb"/>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93CBC">
              <w:rPr>
                <w:rFonts w:ascii="Arial" w:hAnsi="Arial" w:cs="Arial"/>
                <w:bCs w:val="0"/>
                <w:color w:val="auto"/>
                <w:sz w:val="20"/>
                <w:szCs w:val="20"/>
              </w:rPr>
              <w:t>Application</w:t>
            </w:r>
            <w:r w:rsidRPr="00393CBC">
              <w:rPr>
                <w:rFonts w:ascii="Arial" w:hAnsi="Arial" w:cs="Arial"/>
                <w:bCs w:val="0"/>
                <w:color w:val="auto"/>
                <w:sz w:val="20"/>
                <w:szCs w:val="20"/>
              </w:rPr>
              <w:br/>
              <w:t>Development Stage</w:t>
            </w:r>
          </w:p>
        </w:tc>
        <w:tc>
          <w:tcPr>
            <w:tcW w:w="2005" w:type="dxa"/>
            <w:hideMark/>
          </w:tcPr>
          <w:p w14:paraId="1EFE5572" w14:textId="77777777" w:rsidR="00DF7DFD" w:rsidRPr="00393CBC" w:rsidRDefault="00F62BB8">
            <w:pPr>
              <w:pStyle w:val="NormalWeb"/>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93CBC">
              <w:rPr>
                <w:rFonts w:ascii="Arial" w:hAnsi="Arial" w:cs="Arial"/>
                <w:bCs w:val="0"/>
                <w:color w:val="auto"/>
                <w:sz w:val="20"/>
                <w:szCs w:val="20"/>
              </w:rPr>
              <w:t>Post-Implementation/</w:t>
            </w:r>
            <w:r w:rsidRPr="00393CBC">
              <w:rPr>
                <w:rFonts w:ascii="Arial" w:hAnsi="Arial" w:cs="Arial"/>
                <w:bCs w:val="0"/>
                <w:color w:val="auto"/>
                <w:sz w:val="20"/>
                <w:szCs w:val="20"/>
              </w:rPr>
              <w:br/>
              <w:t>Operation Stage</w:t>
            </w:r>
          </w:p>
        </w:tc>
      </w:tr>
      <w:tr w:rsidR="00DF7DFD" w14:paraId="00C4AFA5" w14:textId="77777777" w:rsidTr="00B5048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99" w:type="dxa"/>
            <w:hideMark/>
          </w:tcPr>
          <w:p w14:paraId="6AF0AA25" w14:textId="20B88191" w:rsidR="00DF7DFD" w:rsidRDefault="00F62BB8" w:rsidP="00F95F70">
            <w:pPr>
              <w:pStyle w:val="NormalWeb"/>
              <w:spacing w:line="0" w:lineRule="atLeast"/>
              <w:jc w:val="center"/>
              <w:rPr>
                <w:rFonts w:ascii="Arial" w:hAnsi="Arial" w:cs="Arial"/>
                <w:sz w:val="20"/>
                <w:szCs w:val="20"/>
              </w:rPr>
            </w:pPr>
            <w:r>
              <w:rPr>
                <w:rFonts w:ascii="Arial" w:hAnsi="Arial" w:cs="Arial"/>
                <w:sz w:val="20"/>
                <w:szCs w:val="20"/>
              </w:rPr>
              <w:t xml:space="preserve">Conceptual formulation of </w:t>
            </w:r>
            <w:proofErr w:type="gramStart"/>
            <w:r>
              <w:rPr>
                <w:rFonts w:ascii="Arial" w:hAnsi="Arial" w:cs="Arial"/>
                <w:sz w:val="20"/>
                <w:szCs w:val="20"/>
              </w:rPr>
              <w:t>idea</w:t>
            </w:r>
            <w:proofErr w:type="gramEnd"/>
            <w:r>
              <w:rPr>
                <w:rFonts w:ascii="Arial" w:hAnsi="Arial" w:cs="Arial"/>
                <w:sz w:val="20"/>
                <w:szCs w:val="20"/>
              </w:rPr>
              <w:t xml:space="preserve"> and alternatives</w:t>
            </w:r>
          </w:p>
        </w:tc>
        <w:tc>
          <w:tcPr>
            <w:tcW w:w="3509" w:type="dxa"/>
            <w:hideMark/>
          </w:tcPr>
          <w:p w14:paraId="2DBC4E18" w14:textId="2C3874B8" w:rsidR="00DF7DFD" w:rsidRDefault="00F62BB8" w:rsidP="00F95F70">
            <w:pPr>
              <w:pStyle w:val="NormalWeb"/>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Design of chosen path, including software configuration and interfaces</w:t>
            </w:r>
          </w:p>
        </w:tc>
        <w:tc>
          <w:tcPr>
            <w:tcW w:w="2005" w:type="dxa"/>
            <w:hideMark/>
          </w:tcPr>
          <w:p w14:paraId="2C0CC3EA" w14:textId="77777777" w:rsidR="00DF7DFD" w:rsidRDefault="00F62BB8">
            <w:pPr>
              <w:pStyle w:val="NormalWeb"/>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Training </w:t>
            </w:r>
          </w:p>
        </w:tc>
      </w:tr>
      <w:tr w:rsidR="00DF7DFD" w14:paraId="21A1AD61" w14:textId="77777777" w:rsidTr="00B5048D">
        <w:trPr>
          <w:trHeight w:val="256"/>
        </w:trPr>
        <w:tc>
          <w:tcPr>
            <w:cnfStyle w:val="001000000000" w:firstRow="0" w:lastRow="0" w:firstColumn="1" w:lastColumn="0" w:oddVBand="0" w:evenVBand="0" w:oddHBand="0" w:evenHBand="0" w:firstRowFirstColumn="0" w:firstRowLastColumn="0" w:lastRowFirstColumn="0" w:lastRowLastColumn="0"/>
            <w:tcW w:w="2499" w:type="dxa"/>
            <w:hideMark/>
          </w:tcPr>
          <w:p w14:paraId="1492F2EF" w14:textId="614F4C20" w:rsidR="00DF7DFD" w:rsidRDefault="00F62BB8" w:rsidP="00F95F70">
            <w:pPr>
              <w:pStyle w:val="NormalWeb"/>
              <w:spacing w:line="0" w:lineRule="atLeast"/>
              <w:jc w:val="center"/>
              <w:rPr>
                <w:rFonts w:ascii="Arial" w:hAnsi="Arial" w:cs="Arial"/>
                <w:sz w:val="20"/>
                <w:szCs w:val="20"/>
              </w:rPr>
            </w:pPr>
            <w:r>
              <w:rPr>
                <w:rFonts w:ascii="Arial" w:hAnsi="Arial" w:cs="Arial"/>
                <w:sz w:val="20"/>
                <w:szCs w:val="20"/>
              </w:rPr>
              <w:t>Evaluation of alternatives</w:t>
            </w:r>
          </w:p>
        </w:tc>
        <w:tc>
          <w:tcPr>
            <w:tcW w:w="3509" w:type="dxa"/>
            <w:hideMark/>
          </w:tcPr>
          <w:p w14:paraId="647E71D2" w14:textId="0CE276C3" w:rsidR="00DF7DFD" w:rsidRDefault="00F62BB8" w:rsidP="00F95F70">
            <w:pPr>
              <w:pStyle w:val="NormalWeb"/>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Coding</w:t>
            </w:r>
          </w:p>
        </w:tc>
        <w:tc>
          <w:tcPr>
            <w:tcW w:w="2005" w:type="dxa"/>
            <w:hideMark/>
          </w:tcPr>
          <w:p w14:paraId="61E17711" w14:textId="77777777" w:rsidR="00DF7DFD" w:rsidRDefault="00F62BB8">
            <w:pPr>
              <w:pStyle w:val="NormalWeb"/>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Application maintenance </w:t>
            </w:r>
          </w:p>
        </w:tc>
      </w:tr>
      <w:tr w:rsidR="00DF7DFD" w14:paraId="653C2ED9" w14:textId="77777777" w:rsidTr="00B5048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499" w:type="dxa"/>
            <w:hideMark/>
          </w:tcPr>
          <w:p w14:paraId="528532C9" w14:textId="3A284729" w:rsidR="00DF7DFD" w:rsidRDefault="00F62BB8" w:rsidP="00F95F70">
            <w:pPr>
              <w:pStyle w:val="NormalWeb"/>
              <w:spacing w:line="0" w:lineRule="atLeast"/>
              <w:jc w:val="center"/>
              <w:rPr>
                <w:rFonts w:ascii="Arial" w:hAnsi="Arial" w:cs="Arial"/>
                <w:sz w:val="20"/>
                <w:szCs w:val="20"/>
              </w:rPr>
            </w:pPr>
            <w:r>
              <w:rPr>
                <w:rFonts w:ascii="Arial" w:hAnsi="Arial" w:cs="Arial"/>
                <w:sz w:val="20"/>
                <w:szCs w:val="20"/>
              </w:rPr>
              <w:t>Determination of existence of needed technology</w:t>
            </w:r>
          </w:p>
        </w:tc>
        <w:tc>
          <w:tcPr>
            <w:tcW w:w="3509" w:type="dxa"/>
            <w:hideMark/>
          </w:tcPr>
          <w:p w14:paraId="5AFA2CF9" w14:textId="66F2C7FE" w:rsidR="00DF7DFD" w:rsidRDefault="00F62BB8" w:rsidP="00F95F70">
            <w:pPr>
              <w:pStyle w:val="NormalWeb"/>
              <w:spacing w:line="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Installation of hardware</w:t>
            </w:r>
          </w:p>
        </w:tc>
        <w:tc>
          <w:tcPr>
            <w:tcW w:w="2005" w:type="dxa"/>
            <w:hideMark/>
          </w:tcPr>
          <w:p w14:paraId="4A9C3222" w14:textId="77777777" w:rsidR="00DF7DFD" w:rsidRDefault="00DF7DFD">
            <w:pPr>
              <w:pStyle w:val="NormalWeb"/>
              <w:spacing w:line="0" w:lineRule="atLeas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7DFD" w14:paraId="1ED084A9" w14:textId="77777777" w:rsidTr="00B5048D">
        <w:trPr>
          <w:trHeight w:val="77"/>
        </w:trPr>
        <w:tc>
          <w:tcPr>
            <w:cnfStyle w:val="001000000000" w:firstRow="0" w:lastRow="0" w:firstColumn="1" w:lastColumn="0" w:oddVBand="0" w:evenVBand="0" w:oddHBand="0" w:evenHBand="0" w:firstRowFirstColumn="0" w:firstRowLastColumn="0" w:lastRowFirstColumn="0" w:lastRowLastColumn="0"/>
            <w:tcW w:w="2499" w:type="dxa"/>
            <w:hideMark/>
          </w:tcPr>
          <w:p w14:paraId="50DE1545" w14:textId="363EBA13" w:rsidR="00DF7DFD" w:rsidRDefault="00F62BB8" w:rsidP="00F95F70">
            <w:pPr>
              <w:pStyle w:val="NormalWeb"/>
              <w:spacing w:line="0" w:lineRule="atLeast"/>
              <w:jc w:val="center"/>
              <w:rPr>
                <w:rFonts w:ascii="Arial" w:hAnsi="Arial" w:cs="Arial"/>
                <w:sz w:val="20"/>
                <w:szCs w:val="20"/>
              </w:rPr>
            </w:pPr>
            <w:r>
              <w:rPr>
                <w:rFonts w:ascii="Arial" w:hAnsi="Arial" w:cs="Arial"/>
                <w:sz w:val="20"/>
                <w:szCs w:val="20"/>
              </w:rPr>
              <w:t>Final selection of alternatives</w:t>
            </w:r>
          </w:p>
        </w:tc>
        <w:tc>
          <w:tcPr>
            <w:tcW w:w="3509" w:type="dxa"/>
            <w:hideMark/>
          </w:tcPr>
          <w:p w14:paraId="72E2DB1E" w14:textId="0AEF3B1C" w:rsidR="00DF7DFD" w:rsidRDefault="00F62BB8" w:rsidP="00F95F70">
            <w:pPr>
              <w:pStyle w:val="NormalWeb"/>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Testing, including parallel processing</w:t>
            </w:r>
          </w:p>
        </w:tc>
        <w:tc>
          <w:tcPr>
            <w:tcW w:w="2005" w:type="dxa"/>
            <w:hideMark/>
          </w:tcPr>
          <w:p w14:paraId="03FD130D" w14:textId="77777777" w:rsidR="00DF7DFD" w:rsidRDefault="00DF7DFD">
            <w:pPr>
              <w:pStyle w:val="NormalWeb"/>
              <w:spacing w:line="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BFF0794" w14:textId="77777777" w:rsidR="00CD04CF" w:rsidRPr="009A1167" w:rsidRDefault="00CD04CF" w:rsidP="009A1167">
      <w:pPr>
        <w:spacing w:line="0" w:lineRule="atLeast"/>
        <w:contextualSpacing/>
        <w:jc w:val="both"/>
        <w:rPr>
          <w:rFonts w:ascii="Arial" w:hAnsi="Arial" w:cs="Arial"/>
          <w:sz w:val="20"/>
        </w:rPr>
      </w:pPr>
    </w:p>
    <w:p w14:paraId="76DFD0F1" w14:textId="77777777" w:rsidR="00CD04CF" w:rsidRDefault="00CD04CF" w:rsidP="00FC279A">
      <w:pPr>
        <w:pStyle w:val="ListParagraph"/>
        <w:spacing w:line="0" w:lineRule="atLeast"/>
        <w:ind w:left="360"/>
        <w:contextualSpacing/>
        <w:jc w:val="both"/>
        <w:rPr>
          <w:rFonts w:ascii="Arial" w:hAnsi="Arial" w:cs="Arial"/>
          <w:sz w:val="20"/>
        </w:rPr>
      </w:pPr>
    </w:p>
    <w:p w14:paraId="7C9BA41C" w14:textId="77777777" w:rsidR="00CD04CF" w:rsidRDefault="00CD04CF" w:rsidP="00FC279A">
      <w:pPr>
        <w:pStyle w:val="ListParagraph"/>
        <w:spacing w:line="0" w:lineRule="atLeast"/>
        <w:ind w:left="360"/>
        <w:contextualSpacing/>
        <w:jc w:val="both"/>
        <w:rPr>
          <w:rFonts w:ascii="Arial" w:hAnsi="Arial" w:cs="Arial"/>
          <w:sz w:val="20"/>
        </w:rPr>
      </w:pPr>
    </w:p>
    <w:p w14:paraId="1D890AD1" w14:textId="77777777" w:rsidR="00C42165" w:rsidRDefault="00C42165" w:rsidP="00C42165">
      <w:pPr>
        <w:pStyle w:val="ListParagraph"/>
        <w:ind w:left="360"/>
        <w:contextualSpacing/>
        <w:jc w:val="both"/>
        <w:rPr>
          <w:rFonts w:ascii="Arial" w:hAnsi="Arial" w:cs="Arial"/>
          <w:sz w:val="20"/>
        </w:rPr>
      </w:pPr>
    </w:p>
    <w:p w14:paraId="07407508" w14:textId="77777777" w:rsidR="00C42165" w:rsidRDefault="00C42165" w:rsidP="00C42165">
      <w:pPr>
        <w:pStyle w:val="ListParagraph"/>
        <w:ind w:left="360"/>
        <w:contextualSpacing/>
        <w:jc w:val="both"/>
        <w:rPr>
          <w:rFonts w:ascii="Arial" w:hAnsi="Arial" w:cs="Arial"/>
          <w:sz w:val="20"/>
        </w:rPr>
      </w:pPr>
    </w:p>
    <w:p w14:paraId="3DF35B7B" w14:textId="77777777" w:rsidR="00C42165" w:rsidRDefault="00C42165" w:rsidP="00C42165">
      <w:pPr>
        <w:pStyle w:val="ListParagraph"/>
        <w:ind w:left="360"/>
        <w:contextualSpacing/>
        <w:jc w:val="both"/>
        <w:rPr>
          <w:rFonts w:ascii="Arial" w:hAnsi="Arial" w:cs="Arial"/>
          <w:sz w:val="20"/>
        </w:rPr>
      </w:pPr>
    </w:p>
    <w:p w14:paraId="71D23006" w14:textId="77777777" w:rsidR="00C42165" w:rsidRDefault="00C42165" w:rsidP="00C42165">
      <w:pPr>
        <w:pStyle w:val="ListParagraph"/>
        <w:spacing w:before="240" w:after="240"/>
        <w:ind w:left="360"/>
        <w:contextualSpacing/>
        <w:jc w:val="both"/>
        <w:rPr>
          <w:rFonts w:ascii="Arial" w:hAnsi="Arial" w:cs="Arial"/>
          <w:sz w:val="20"/>
        </w:rPr>
      </w:pPr>
      <w:r>
        <w:rPr>
          <w:rFonts w:ascii="Arial" w:hAnsi="Arial" w:cs="Arial"/>
          <w:sz w:val="20"/>
        </w:rPr>
        <w:t xml:space="preserve">  </w:t>
      </w:r>
    </w:p>
    <w:p w14:paraId="4252D64B" w14:textId="77777777" w:rsidR="00C42165" w:rsidRDefault="00C42165" w:rsidP="00C42165">
      <w:pPr>
        <w:pStyle w:val="ListParagraph"/>
        <w:spacing w:before="240" w:after="240"/>
        <w:ind w:left="360"/>
        <w:contextualSpacing/>
        <w:jc w:val="both"/>
        <w:rPr>
          <w:rFonts w:ascii="Arial" w:hAnsi="Arial" w:cs="Arial"/>
          <w:sz w:val="20"/>
        </w:rPr>
      </w:pPr>
    </w:p>
    <w:p w14:paraId="7F86D77D" w14:textId="77777777" w:rsidR="00E67F89" w:rsidRDefault="00E67F89" w:rsidP="00C42165">
      <w:pPr>
        <w:pStyle w:val="ListParagraph"/>
        <w:spacing w:before="240" w:after="240"/>
        <w:ind w:left="360"/>
        <w:contextualSpacing/>
        <w:jc w:val="both"/>
        <w:rPr>
          <w:rFonts w:ascii="Arial" w:hAnsi="Arial" w:cs="Arial"/>
          <w:sz w:val="20"/>
        </w:rPr>
      </w:pPr>
    </w:p>
    <w:p w14:paraId="460F94F3" w14:textId="77777777" w:rsidR="00E67F89" w:rsidRDefault="00E67F89" w:rsidP="00C42165">
      <w:pPr>
        <w:pStyle w:val="ListParagraph"/>
        <w:spacing w:before="240" w:after="240"/>
        <w:ind w:left="360"/>
        <w:contextualSpacing/>
        <w:jc w:val="both"/>
        <w:rPr>
          <w:rFonts w:ascii="Arial" w:hAnsi="Arial" w:cs="Arial"/>
          <w:sz w:val="20"/>
        </w:rPr>
      </w:pPr>
    </w:p>
    <w:p w14:paraId="4AC5C139" w14:textId="77777777" w:rsidR="00E67F89" w:rsidRDefault="00E67F89" w:rsidP="00C42165">
      <w:pPr>
        <w:pStyle w:val="ListParagraph"/>
        <w:spacing w:before="240" w:after="240"/>
        <w:ind w:left="360"/>
        <w:contextualSpacing/>
        <w:jc w:val="both"/>
        <w:rPr>
          <w:rFonts w:ascii="Arial" w:hAnsi="Arial" w:cs="Arial"/>
          <w:sz w:val="20"/>
        </w:rPr>
      </w:pPr>
    </w:p>
    <w:p w14:paraId="637281C5" w14:textId="77777777" w:rsidR="00E67F89" w:rsidRDefault="00E67F89" w:rsidP="00C42165">
      <w:pPr>
        <w:pStyle w:val="ListParagraph"/>
        <w:spacing w:before="240" w:after="240"/>
        <w:ind w:left="360"/>
        <w:contextualSpacing/>
        <w:jc w:val="both"/>
        <w:rPr>
          <w:rFonts w:ascii="Arial" w:hAnsi="Arial" w:cs="Arial"/>
          <w:sz w:val="20"/>
        </w:rPr>
      </w:pPr>
    </w:p>
    <w:p w14:paraId="6938F950" w14:textId="77777777" w:rsidR="00E67F89" w:rsidRDefault="00E67F89" w:rsidP="00C42165">
      <w:pPr>
        <w:pStyle w:val="ListParagraph"/>
        <w:spacing w:before="240" w:after="240"/>
        <w:ind w:left="360"/>
        <w:contextualSpacing/>
        <w:jc w:val="both"/>
        <w:rPr>
          <w:rFonts w:ascii="Arial" w:hAnsi="Arial" w:cs="Arial"/>
          <w:sz w:val="20"/>
        </w:rPr>
      </w:pPr>
    </w:p>
    <w:p w14:paraId="73365ADD" w14:textId="77777777" w:rsidR="00E67F89" w:rsidRDefault="00E67F89" w:rsidP="00C42165">
      <w:pPr>
        <w:pStyle w:val="ListParagraph"/>
        <w:spacing w:before="240" w:after="240"/>
        <w:ind w:left="360"/>
        <w:contextualSpacing/>
        <w:jc w:val="both"/>
        <w:rPr>
          <w:rFonts w:ascii="Arial" w:hAnsi="Arial" w:cs="Arial"/>
          <w:sz w:val="20"/>
        </w:rPr>
      </w:pPr>
    </w:p>
    <w:p w14:paraId="57862359" w14:textId="77777777" w:rsidR="00E67F89" w:rsidRDefault="00E67F89" w:rsidP="00C42165">
      <w:pPr>
        <w:pStyle w:val="ListParagraph"/>
        <w:spacing w:before="240" w:after="240"/>
        <w:ind w:left="360"/>
        <w:contextualSpacing/>
        <w:jc w:val="both"/>
        <w:rPr>
          <w:rFonts w:ascii="Arial" w:hAnsi="Arial" w:cs="Arial"/>
          <w:sz w:val="20"/>
        </w:rPr>
      </w:pPr>
    </w:p>
    <w:p w14:paraId="4622C493" w14:textId="1A9AB792" w:rsidR="00DF7DFD" w:rsidRDefault="00660075" w:rsidP="00464A74">
      <w:pPr>
        <w:pStyle w:val="ListParagraph"/>
        <w:spacing w:before="240" w:after="240"/>
        <w:ind w:left="360"/>
        <w:contextualSpacing/>
        <w:jc w:val="both"/>
        <w:rPr>
          <w:rFonts w:ascii="Arial" w:hAnsi="Arial" w:cs="Arial"/>
          <w:sz w:val="20"/>
        </w:rPr>
      </w:pPr>
      <w:r w:rsidRPr="009D7A9F">
        <w:rPr>
          <w:rFonts w:ascii="Arial" w:hAnsi="Arial" w:cs="Arial"/>
          <w:sz w:val="20"/>
          <w:u w:val="single"/>
        </w:rPr>
        <w:t>Preliminary project stage</w:t>
      </w:r>
      <w:r>
        <w:rPr>
          <w:rFonts w:ascii="Arial" w:hAnsi="Arial" w:cs="Arial"/>
          <w:sz w:val="20"/>
        </w:rPr>
        <w:t xml:space="preserve">: </w:t>
      </w:r>
      <w:r w:rsidR="00F62BB8">
        <w:rPr>
          <w:rFonts w:ascii="Arial" w:hAnsi="Arial" w:cs="Arial"/>
          <w:sz w:val="20"/>
        </w:rPr>
        <w:t xml:space="preserve">Internal and external costs incurred during the preliminary project stage should be </w:t>
      </w:r>
      <w:proofErr w:type="gramStart"/>
      <w:r w:rsidR="00F62BB8">
        <w:rPr>
          <w:rFonts w:ascii="Arial" w:hAnsi="Arial" w:cs="Arial"/>
          <w:sz w:val="20"/>
        </w:rPr>
        <w:t>expensed</w:t>
      </w:r>
      <w:proofErr w:type="gramEnd"/>
      <w:r w:rsidR="00F62BB8">
        <w:rPr>
          <w:rFonts w:ascii="Arial" w:hAnsi="Arial" w:cs="Arial"/>
          <w:sz w:val="20"/>
        </w:rPr>
        <w:t xml:space="preserve"> as incurred. </w:t>
      </w:r>
    </w:p>
    <w:p w14:paraId="74CB63EF" w14:textId="77777777" w:rsidR="00660075" w:rsidRDefault="00660075" w:rsidP="00C42165">
      <w:pPr>
        <w:pStyle w:val="ListParagraph"/>
        <w:spacing w:before="240" w:after="240"/>
        <w:ind w:left="360"/>
        <w:contextualSpacing/>
        <w:jc w:val="both"/>
        <w:rPr>
          <w:rFonts w:ascii="Arial" w:hAnsi="Arial" w:cs="Arial"/>
          <w:sz w:val="20"/>
        </w:rPr>
      </w:pPr>
    </w:p>
    <w:p w14:paraId="3EDC2461" w14:textId="1E09B41C" w:rsidR="00DF7DFD" w:rsidRDefault="00660075" w:rsidP="00C42165">
      <w:pPr>
        <w:pStyle w:val="ListParagraph"/>
        <w:spacing w:before="240" w:after="240"/>
        <w:ind w:left="360"/>
        <w:contextualSpacing/>
        <w:jc w:val="both"/>
        <w:rPr>
          <w:rFonts w:ascii="Arial" w:hAnsi="Arial" w:cs="Arial"/>
          <w:sz w:val="20"/>
        </w:rPr>
      </w:pPr>
      <w:r w:rsidRPr="009D7A9F">
        <w:rPr>
          <w:rFonts w:ascii="Arial" w:hAnsi="Arial" w:cs="Arial"/>
          <w:sz w:val="20"/>
          <w:u w:val="single"/>
        </w:rPr>
        <w:t>Application development stage</w:t>
      </w:r>
      <w:r>
        <w:rPr>
          <w:rFonts w:ascii="Arial" w:hAnsi="Arial" w:cs="Arial"/>
          <w:sz w:val="20"/>
        </w:rPr>
        <w:t>: C</w:t>
      </w:r>
      <w:r w:rsidR="00F62BB8">
        <w:rPr>
          <w:rFonts w:ascii="Arial" w:hAnsi="Arial" w:cs="Arial"/>
          <w:sz w:val="20"/>
        </w:rPr>
        <w:t>ertain activities of developing and obtaining internal-use software that occur during the application development stage</w:t>
      </w:r>
      <w:r>
        <w:rPr>
          <w:rFonts w:ascii="Arial" w:hAnsi="Arial" w:cs="Arial"/>
          <w:sz w:val="20"/>
        </w:rPr>
        <w:t xml:space="preserve"> should be capitalized as part of the internal-use software</w:t>
      </w:r>
      <w:r w:rsidR="00F62BB8">
        <w:rPr>
          <w:rFonts w:ascii="Arial" w:hAnsi="Arial" w:cs="Arial"/>
          <w:sz w:val="20"/>
        </w:rPr>
        <w:t>. The following types of costs incurred during th</w:t>
      </w:r>
      <w:r>
        <w:rPr>
          <w:rFonts w:ascii="Arial" w:hAnsi="Arial" w:cs="Arial"/>
          <w:sz w:val="20"/>
        </w:rPr>
        <w:t xml:space="preserve">is stage </w:t>
      </w:r>
      <w:r w:rsidR="00F62BB8">
        <w:rPr>
          <w:rFonts w:ascii="Arial" w:hAnsi="Arial" w:cs="Arial"/>
          <w:sz w:val="20"/>
        </w:rPr>
        <w:t xml:space="preserve">should be capitalized: </w:t>
      </w:r>
    </w:p>
    <w:p w14:paraId="1E6C6313" w14:textId="77777777" w:rsidR="00DF7DFD" w:rsidRDefault="00F62BB8" w:rsidP="00C42165">
      <w:pPr>
        <w:pStyle w:val="ListParagraph"/>
        <w:numPr>
          <w:ilvl w:val="0"/>
          <w:numId w:val="11"/>
        </w:numPr>
        <w:spacing w:line="0" w:lineRule="atLeast"/>
        <w:ind w:left="1080"/>
        <w:contextualSpacing/>
        <w:jc w:val="both"/>
        <w:rPr>
          <w:rFonts w:ascii="Arial" w:hAnsi="Arial" w:cs="Arial"/>
          <w:sz w:val="20"/>
        </w:rPr>
      </w:pPr>
      <w:r>
        <w:rPr>
          <w:rFonts w:ascii="Arial" w:hAnsi="Arial" w:cs="Arial"/>
          <w:sz w:val="20"/>
        </w:rPr>
        <w:t>external direct costs of materials and services consumed in developing or obtaining internal-use software</w:t>
      </w:r>
    </w:p>
    <w:p w14:paraId="3F218E78" w14:textId="77777777" w:rsidR="00DF7DFD" w:rsidRDefault="00F62BB8" w:rsidP="00C96CD5">
      <w:pPr>
        <w:pStyle w:val="ListParagraph"/>
        <w:numPr>
          <w:ilvl w:val="0"/>
          <w:numId w:val="11"/>
        </w:numPr>
        <w:spacing w:line="0" w:lineRule="atLeast"/>
        <w:ind w:left="1080"/>
        <w:contextualSpacing/>
        <w:jc w:val="both"/>
        <w:rPr>
          <w:rFonts w:ascii="Arial" w:hAnsi="Arial" w:cs="Arial"/>
          <w:sz w:val="20"/>
        </w:rPr>
      </w:pPr>
      <w:r>
        <w:rPr>
          <w:rFonts w:ascii="Arial" w:hAnsi="Arial" w:cs="Arial"/>
          <w:sz w:val="20"/>
        </w:rPr>
        <w:t>payroll and payroll-related costs for employees who are directly associated with and who devote time to the internal-use software project (to the extent of the time spent directly on the project)</w:t>
      </w:r>
    </w:p>
    <w:p w14:paraId="05635EC6" w14:textId="77777777" w:rsidR="00DF7DFD" w:rsidRDefault="00F62BB8" w:rsidP="00DC178B">
      <w:pPr>
        <w:pStyle w:val="ListParagraph"/>
        <w:numPr>
          <w:ilvl w:val="0"/>
          <w:numId w:val="11"/>
        </w:numPr>
        <w:spacing w:line="0" w:lineRule="atLeast"/>
        <w:ind w:left="1080"/>
        <w:contextualSpacing/>
        <w:jc w:val="both"/>
        <w:rPr>
          <w:rFonts w:ascii="Arial" w:hAnsi="Arial" w:cs="Arial"/>
          <w:sz w:val="20"/>
        </w:rPr>
      </w:pPr>
      <w:r>
        <w:rPr>
          <w:rFonts w:ascii="Arial" w:hAnsi="Arial" w:cs="Arial"/>
          <w:sz w:val="20"/>
        </w:rPr>
        <w:t>interest costs incurred in developing software for internal use</w:t>
      </w:r>
    </w:p>
    <w:p w14:paraId="503788DA" w14:textId="77777777" w:rsidR="00DF7DFD" w:rsidRDefault="00F62BB8" w:rsidP="00DC178B">
      <w:pPr>
        <w:pStyle w:val="ListParagraph"/>
        <w:numPr>
          <w:ilvl w:val="0"/>
          <w:numId w:val="11"/>
        </w:numPr>
        <w:spacing w:line="0" w:lineRule="atLeast"/>
        <w:ind w:left="1080"/>
        <w:contextualSpacing/>
        <w:jc w:val="both"/>
        <w:rPr>
          <w:rFonts w:ascii="Arial" w:hAnsi="Arial" w:cs="Arial"/>
          <w:sz w:val="20"/>
        </w:rPr>
      </w:pPr>
      <w:r>
        <w:rPr>
          <w:rFonts w:ascii="Arial" w:hAnsi="Arial" w:cs="Arial"/>
          <w:sz w:val="20"/>
        </w:rPr>
        <w:t xml:space="preserve">cost to develop or obtain software that allows for access or conversion of old data by new systems. </w:t>
      </w:r>
    </w:p>
    <w:p w14:paraId="7D89F280" w14:textId="77777777" w:rsidR="00DF7DFD" w:rsidRDefault="00DF7DFD" w:rsidP="00DC178B">
      <w:pPr>
        <w:pStyle w:val="ListParagraph"/>
        <w:spacing w:line="0" w:lineRule="atLeast"/>
        <w:ind w:left="1020"/>
        <w:contextualSpacing/>
        <w:jc w:val="both"/>
        <w:rPr>
          <w:rFonts w:ascii="Arial" w:hAnsi="Arial" w:cs="Arial"/>
          <w:sz w:val="20"/>
        </w:rPr>
      </w:pPr>
    </w:p>
    <w:p w14:paraId="30291A80" w14:textId="6A5B7C2D" w:rsidR="00DF7DFD" w:rsidRDefault="00660075" w:rsidP="00DC178B">
      <w:pPr>
        <w:pStyle w:val="ListParagraph"/>
        <w:spacing w:line="0" w:lineRule="atLeast"/>
        <w:ind w:left="360"/>
        <w:contextualSpacing/>
        <w:jc w:val="both"/>
        <w:rPr>
          <w:rFonts w:ascii="Arial" w:hAnsi="Arial" w:cs="Arial"/>
          <w:sz w:val="20"/>
        </w:rPr>
      </w:pPr>
      <w:r>
        <w:rPr>
          <w:rFonts w:ascii="Arial" w:hAnsi="Arial" w:cs="Arial"/>
          <w:sz w:val="20"/>
        </w:rPr>
        <w:t xml:space="preserve">However, </w:t>
      </w:r>
      <w:r w:rsidR="00F62BB8">
        <w:rPr>
          <w:rFonts w:ascii="Arial" w:hAnsi="Arial" w:cs="Arial"/>
          <w:sz w:val="20"/>
        </w:rPr>
        <w:t>any training costs incurred during the application development stage, th</w:t>
      </w:r>
      <w:r>
        <w:rPr>
          <w:rFonts w:ascii="Arial" w:hAnsi="Arial" w:cs="Arial"/>
          <w:sz w:val="20"/>
        </w:rPr>
        <w:t xml:space="preserve">ose costs </w:t>
      </w:r>
      <w:r w:rsidR="00542865">
        <w:rPr>
          <w:rFonts w:ascii="Arial" w:hAnsi="Arial" w:cs="Arial"/>
          <w:sz w:val="20"/>
        </w:rPr>
        <w:t>should</w:t>
      </w:r>
      <w:r w:rsidR="00F62BB8">
        <w:rPr>
          <w:rFonts w:ascii="Arial" w:hAnsi="Arial" w:cs="Arial"/>
          <w:sz w:val="20"/>
        </w:rPr>
        <w:t xml:space="preserve"> be expensed as incurred. Also, </w:t>
      </w:r>
      <w:r w:rsidR="00F62BB8" w:rsidRPr="00542865">
        <w:rPr>
          <w:rFonts w:ascii="Arial" w:hAnsi="Arial" w:cs="Arial"/>
          <w:sz w:val="20"/>
        </w:rPr>
        <w:t>data conversion costs,</w:t>
      </w:r>
      <w:r w:rsidR="00F62BB8">
        <w:rPr>
          <w:rFonts w:ascii="Arial" w:hAnsi="Arial" w:cs="Arial"/>
          <w:sz w:val="20"/>
        </w:rPr>
        <w:t xml:space="preserve"> except for costs to develop or obtain software that allows for access or conversion of old data by new systems </w:t>
      </w:r>
      <w:r w:rsidR="00F62BB8" w:rsidRPr="00542865">
        <w:rPr>
          <w:rFonts w:ascii="Arial" w:hAnsi="Arial" w:cs="Arial"/>
          <w:sz w:val="20"/>
        </w:rPr>
        <w:t xml:space="preserve">should be </w:t>
      </w:r>
      <w:proofErr w:type="gramStart"/>
      <w:r w:rsidR="00F62BB8" w:rsidRPr="00542865">
        <w:rPr>
          <w:rFonts w:ascii="Arial" w:hAnsi="Arial" w:cs="Arial"/>
          <w:sz w:val="20"/>
        </w:rPr>
        <w:t>expensed</w:t>
      </w:r>
      <w:proofErr w:type="gramEnd"/>
      <w:r w:rsidR="00F62BB8" w:rsidRPr="00542865">
        <w:rPr>
          <w:rFonts w:ascii="Arial" w:hAnsi="Arial" w:cs="Arial"/>
          <w:sz w:val="20"/>
        </w:rPr>
        <w:t xml:space="preserve"> as incurred</w:t>
      </w:r>
      <w:r w:rsidR="00F62BB8">
        <w:rPr>
          <w:rFonts w:ascii="Arial" w:hAnsi="Arial" w:cs="Arial"/>
          <w:sz w:val="20"/>
        </w:rPr>
        <w:t>. U.S. GAAP indicates that computer software is ready for its intended use after all substantial testing is completed.</w:t>
      </w:r>
    </w:p>
    <w:p w14:paraId="33EA8009" w14:textId="77777777" w:rsidR="00DF7DFD" w:rsidRDefault="00DF7DFD" w:rsidP="00B5048D">
      <w:pPr>
        <w:pStyle w:val="ListParagraph"/>
        <w:spacing w:line="0" w:lineRule="atLeast"/>
        <w:ind w:left="360" w:firstLine="390"/>
        <w:contextualSpacing/>
        <w:jc w:val="both"/>
        <w:rPr>
          <w:rFonts w:ascii="Arial" w:hAnsi="Arial" w:cs="Arial"/>
          <w:sz w:val="20"/>
        </w:rPr>
      </w:pPr>
    </w:p>
    <w:p w14:paraId="4179E7C8" w14:textId="52B7B844" w:rsidR="00C42165" w:rsidRDefault="00660075" w:rsidP="00B5048D">
      <w:pPr>
        <w:pStyle w:val="ListParagraph"/>
        <w:spacing w:line="0" w:lineRule="atLeast"/>
        <w:ind w:left="360"/>
        <w:contextualSpacing/>
        <w:jc w:val="both"/>
        <w:rPr>
          <w:rFonts w:ascii="Arial" w:hAnsi="Arial" w:cs="Arial"/>
          <w:sz w:val="20"/>
        </w:rPr>
      </w:pPr>
      <w:r w:rsidRPr="009D7A9F">
        <w:rPr>
          <w:rFonts w:ascii="Arial" w:hAnsi="Arial" w:cs="Arial"/>
          <w:sz w:val="20"/>
          <w:u w:val="single"/>
        </w:rPr>
        <w:t>Post-implementation/ operation s</w:t>
      </w:r>
      <w:r>
        <w:rPr>
          <w:rFonts w:ascii="Arial" w:hAnsi="Arial" w:cs="Arial"/>
          <w:sz w:val="20"/>
          <w:u w:val="single"/>
        </w:rPr>
        <w:t>t</w:t>
      </w:r>
      <w:r w:rsidRPr="009D7A9F">
        <w:rPr>
          <w:rFonts w:ascii="Arial" w:hAnsi="Arial" w:cs="Arial"/>
          <w:sz w:val="20"/>
          <w:u w:val="single"/>
        </w:rPr>
        <w:t>a</w:t>
      </w:r>
      <w:r>
        <w:rPr>
          <w:rFonts w:ascii="Arial" w:hAnsi="Arial" w:cs="Arial"/>
          <w:sz w:val="20"/>
          <w:u w:val="single"/>
        </w:rPr>
        <w:t>g</w:t>
      </w:r>
      <w:r w:rsidRPr="009D7A9F">
        <w:rPr>
          <w:rFonts w:ascii="Arial" w:hAnsi="Arial" w:cs="Arial"/>
          <w:sz w:val="20"/>
          <w:u w:val="single"/>
        </w:rPr>
        <w:t>e</w:t>
      </w:r>
      <w:r>
        <w:rPr>
          <w:rFonts w:ascii="Arial" w:hAnsi="Arial" w:cs="Arial"/>
          <w:sz w:val="20"/>
        </w:rPr>
        <w:t xml:space="preserve">: </w:t>
      </w:r>
      <w:r w:rsidR="00F62BB8">
        <w:rPr>
          <w:rFonts w:ascii="Arial" w:hAnsi="Arial" w:cs="Arial"/>
          <w:sz w:val="20"/>
        </w:rPr>
        <w:t xml:space="preserve">In the post-implementation/operation stage, all internal and external training and maintenance costs </w:t>
      </w:r>
      <w:r w:rsidR="00542865">
        <w:rPr>
          <w:rFonts w:ascii="Arial" w:hAnsi="Arial" w:cs="Arial"/>
          <w:sz w:val="20"/>
        </w:rPr>
        <w:t xml:space="preserve">should </w:t>
      </w:r>
      <w:r w:rsidR="00F62BB8">
        <w:rPr>
          <w:rFonts w:ascii="Arial" w:hAnsi="Arial" w:cs="Arial"/>
          <w:sz w:val="20"/>
        </w:rPr>
        <w:t xml:space="preserve">be expensed as incurred. In addition, maintenance costs incurred solely to extend the useful life of existing internal-use software should be </w:t>
      </w:r>
      <w:proofErr w:type="gramStart"/>
      <w:r w:rsidR="00F62BB8">
        <w:rPr>
          <w:rFonts w:ascii="Arial" w:hAnsi="Arial" w:cs="Arial"/>
          <w:sz w:val="20"/>
        </w:rPr>
        <w:t>expensed</w:t>
      </w:r>
      <w:proofErr w:type="gramEnd"/>
      <w:r w:rsidR="00F62BB8">
        <w:rPr>
          <w:rFonts w:ascii="Arial" w:hAnsi="Arial" w:cs="Arial"/>
          <w:sz w:val="20"/>
        </w:rPr>
        <w:t xml:space="preserve"> as incurred.  </w:t>
      </w:r>
    </w:p>
    <w:p w14:paraId="579927BE" w14:textId="77777777" w:rsidR="00C42165" w:rsidRDefault="00C42165" w:rsidP="00C42165">
      <w:pPr>
        <w:pStyle w:val="ListParagraph"/>
        <w:spacing w:line="0" w:lineRule="atLeast"/>
        <w:ind w:left="360"/>
        <w:contextualSpacing/>
        <w:jc w:val="both"/>
        <w:rPr>
          <w:rFonts w:ascii="Arial" w:hAnsi="Arial" w:cs="Arial"/>
          <w:sz w:val="20"/>
        </w:rPr>
      </w:pPr>
    </w:p>
    <w:p w14:paraId="1A521AC5" w14:textId="5F1E8A87" w:rsidR="00B14EF1" w:rsidRDefault="00C42165" w:rsidP="00B14EF1">
      <w:pPr>
        <w:pStyle w:val="ListParagraph"/>
        <w:spacing w:line="0" w:lineRule="atLeast"/>
        <w:ind w:left="360"/>
        <w:contextualSpacing/>
        <w:jc w:val="both"/>
        <w:rPr>
          <w:rFonts w:ascii="Arial" w:hAnsi="Arial" w:cs="Arial"/>
          <w:sz w:val="20"/>
        </w:rPr>
      </w:pPr>
      <w:r w:rsidRPr="001A0D7E">
        <w:rPr>
          <w:rFonts w:ascii="Arial" w:hAnsi="Arial" w:cs="Arial"/>
          <w:sz w:val="20"/>
          <w:u w:val="single"/>
        </w:rPr>
        <w:t>Upgrades and enhancements</w:t>
      </w:r>
      <w:r>
        <w:rPr>
          <w:rFonts w:ascii="Arial" w:hAnsi="Arial" w:cs="Arial"/>
          <w:sz w:val="20"/>
        </w:rPr>
        <w:t xml:space="preserve"> are defined </w:t>
      </w:r>
      <w:r w:rsidR="001A0D7E">
        <w:rPr>
          <w:rFonts w:ascii="Arial" w:hAnsi="Arial" w:cs="Arial"/>
          <w:sz w:val="20"/>
        </w:rPr>
        <w:t xml:space="preserve">in ASC 350-40-25-7 </w:t>
      </w:r>
      <w:r>
        <w:rPr>
          <w:rFonts w:ascii="Arial" w:hAnsi="Arial" w:cs="Arial"/>
          <w:sz w:val="20"/>
        </w:rPr>
        <w:t xml:space="preserve">as </w:t>
      </w:r>
      <w:r w:rsidR="001A0D7E">
        <w:rPr>
          <w:rFonts w:ascii="Arial" w:hAnsi="Arial" w:cs="Arial"/>
          <w:sz w:val="20"/>
        </w:rPr>
        <w:t>modifications</w:t>
      </w:r>
      <w:r>
        <w:rPr>
          <w:rFonts w:ascii="Arial" w:hAnsi="Arial" w:cs="Arial"/>
          <w:sz w:val="20"/>
        </w:rPr>
        <w:t xml:space="preserve"> to existing internal-use software that result in addi</w:t>
      </w:r>
      <w:r w:rsidR="001A0D7E">
        <w:rPr>
          <w:rFonts w:ascii="Arial" w:hAnsi="Arial" w:cs="Arial"/>
          <w:sz w:val="20"/>
        </w:rPr>
        <w:t>tional functionality</w:t>
      </w:r>
      <w:r w:rsidR="00A62E97">
        <w:rPr>
          <w:rFonts w:ascii="Arial" w:hAnsi="Arial" w:cs="Arial"/>
          <w:sz w:val="20"/>
        </w:rPr>
        <w:t>. T</w:t>
      </w:r>
      <w:r w:rsidR="001A0D7E">
        <w:rPr>
          <w:rFonts w:ascii="Arial" w:hAnsi="Arial" w:cs="Arial"/>
          <w:sz w:val="20"/>
        </w:rPr>
        <w:t xml:space="preserve">hat is, modifications to enable the software to perform tasks that </w:t>
      </w:r>
      <w:r w:rsidR="00542865">
        <w:rPr>
          <w:rFonts w:ascii="Arial" w:hAnsi="Arial" w:cs="Arial"/>
          <w:sz w:val="20"/>
        </w:rPr>
        <w:t>it</w:t>
      </w:r>
      <w:r w:rsidR="001A0D7E">
        <w:rPr>
          <w:rFonts w:ascii="Arial" w:hAnsi="Arial" w:cs="Arial"/>
          <w:sz w:val="20"/>
        </w:rPr>
        <w:t xml:space="preserve"> was previously incapable of performing. Upgrades and enhancements normally require new software specifications and may require a change to all or part of the existing software specifications. </w:t>
      </w:r>
      <w:proofErr w:type="gramStart"/>
      <w:r w:rsidR="00464A74">
        <w:rPr>
          <w:rFonts w:ascii="Arial" w:hAnsi="Arial" w:cs="Arial"/>
          <w:sz w:val="20"/>
        </w:rPr>
        <w:t>In order for</w:t>
      </w:r>
      <w:proofErr w:type="gramEnd"/>
      <w:r w:rsidR="00464A74">
        <w:rPr>
          <w:rFonts w:ascii="Arial" w:hAnsi="Arial" w:cs="Arial"/>
          <w:sz w:val="20"/>
        </w:rPr>
        <w:t xml:space="preserve"> costs to specified upgrades and enhancements to internal-use software to be capitalized, it must be probable that those expenditures will result in additional functionality. </w:t>
      </w:r>
      <w:r w:rsidR="00586B5E">
        <w:rPr>
          <w:rFonts w:ascii="Arial" w:hAnsi="Arial" w:cs="Arial"/>
          <w:sz w:val="20"/>
        </w:rPr>
        <w:t>I</w:t>
      </w:r>
      <w:r w:rsidR="00B14EF1">
        <w:rPr>
          <w:rFonts w:ascii="Arial" w:hAnsi="Arial" w:cs="Arial"/>
          <w:sz w:val="20"/>
        </w:rPr>
        <w:t>f costs from upgrades and enhancements cannot be reasonably separated from the costs of maintenance, the costs of those upgrades and enhancements should be expensed as incurred</w:t>
      </w:r>
      <w:r w:rsidR="00586B5E">
        <w:rPr>
          <w:rFonts w:ascii="Arial" w:hAnsi="Arial" w:cs="Arial"/>
          <w:sz w:val="20"/>
        </w:rPr>
        <w:t xml:space="preserve"> 9ASC 350-</w:t>
      </w:r>
      <w:proofErr w:type="gramStart"/>
      <w:r w:rsidR="00586B5E">
        <w:rPr>
          <w:rFonts w:ascii="Arial" w:hAnsi="Arial" w:cs="Arial"/>
          <w:sz w:val="20"/>
        </w:rPr>
        <w:t>40--25</w:t>
      </w:r>
      <w:proofErr w:type="gramEnd"/>
      <w:r w:rsidR="00586B5E">
        <w:rPr>
          <w:rFonts w:ascii="Arial" w:hAnsi="Arial" w:cs="Arial"/>
          <w:sz w:val="20"/>
        </w:rPr>
        <w:t>-10</w:t>
      </w:r>
      <w:r w:rsidR="00F01511">
        <w:rPr>
          <w:rFonts w:ascii="Arial" w:hAnsi="Arial" w:cs="Arial"/>
          <w:sz w:val="20"/>
        </w:rPr>
        <w:t>),</w:t>
      </w:r>
      <w:r w:rsidR="00B14EF1">
        <w:rPr>
          <w:rFonts w:ascii="Arial" w:hAnsi="Arial" w:cs="Arial"/>
          <w:sz w:val="20"/>
        </w:rPr>
        <w:t xml:space="preserve"> </w:t>
      </w:r>
    </w:p>
    <w:p w14:paraId="463EA373" w14:textId="4A414807" w:rsidR="00DF7DFD" w:rsidRDefault="00A62E97" w:rsidP="00C42165">
      <w:pPr>
        <w:pStyle w:val="ListParagraph"/>
        <w:spacing w:line="0" w:lineRule="atLeast"/>
        <w:ind w:left="360"/>
        <w:contextualSpacing/>
        <w:jc w:val="both"/>
        <w:rPr>
          <w:rFonts w:ascii="Arial" w:hAnsi="Arial" w:cs="Arial"/>
          <w:sz w:val="20"/>
        </w:rPr>
      </w:pPr>
      <w:r>
        <w:rPr>
          <w:rFonts w:ascii="Arial" w:hAnsi="Arial" w:cs="Arial"/>
          <w:sz w:val="20"/>
        </w:rPr>
        <w:t xml:space="preserve"> </w:t>
      </w:r>
    </w:p>
    <w:p w14:paraId="25CF8161" w14:textId="31B5541B" w:rsidR="00480C9E" w:rsidRDefault="00A570EA" w:rsidP="00A330EA">
      <w:pPr>
        <w:spacing w:line="0" w:lineRule="atLeast"/>
        <w:ind w:left="360"/>
        <w:contextualSpacing/>
        <w:jc w:val="both"/>
        <w:rPr>
          <w:rFonts w:ascii="Arial" w:hAnsi="Arial" w:cs="Arial"/>
          <w:sz w:val="20"/>
        </w:rPr>
      </w:pPr>
      <w:r w:rsidRPr="009D7A9F">
        <w:rPr>
          <w:rFonts w:ascii="Arial" w:hAnsi="Arial" w:cs="Arial"/>
          <w:sz w:val="20"/>
          <w:u w:val="single"/>
        </w:rPr>
        <w:t>Business process and reengineering</w:t>
      </w:r>
      <w:r>
        <w:rPr>
          <w:rFonts w:ascii="Arial" w:hAnsi="Arial" w:cs="Arial"/>
          <w:sz w:val="20"/>
          <w:u w:val="single"/>
        </w:rPr>
        <w:t>/</w:t>
      </w:r>
      <w:r w:rsidRPr="009D7A9F">
        <w:rPr>
          <w:rFonts w:ascii="Arial" w:hAnsi="Arial" w:cs="Arial"/>
          <w:sz w:val="20"/>
          <w:u w:val="single"/>
        </w:rPr>
        <w:t>information technology transformation projects</w:t>
      </w:r>
      <w:r>
        <w:rPr>
          <w:rFonts w:ascii="Arial" w:hAnsi="Arial" w:cs="Arial"/>
          <w:sz w:val="20"/>
        </w:rPr>
        <w:t>: Costs incurred as part of a business process reengineering/information technology transformation project</w:t>
      </w:r>
      <w:r w:rsidR="00480C9E">
        <w:rPr>
          <w:rFonts w:ascii="Arial" w:hAnsi="Arial" w:cs="Arial"/>
          <w:sz w:val="20"/>
        </w:rPr>
        <w:t xml:space="preserve">, whether done internally or by third parties, </w:t>
      </w:r>
      <w:r w:rsidR="001B1FD6">
        <w:rPr>
          <w:rFonts w:ascii="Arial" w:hAnsi="Arial" w:cs="Arial"/>
          <w:sz w:val="20"/>
        </w:rPr>
        <w:t xml:space="preserve">should be </w:t>
      </w:r>
      <w:proofErr w:type="gramStart"/>
      <w:r w:rsidR="001B1FD6">
        <w:rPr>
          <w:rFonts w:ascii="Arial" w:hAnsi="Arial" w:cs="Arial"/>
          <w:sz w:val="20"/>
        </w:rPr>
        <w:t>expensed</w:t>
      </w:r>
      <w:proofErr w:type="gramEnd"/>
      <w:r w:rsidR="001B1FD6">
        <w:rPr>
          <w:rFonts w:ascii="Arial" w:hAnsi="Arial" w:cs="Arial"/>
          <w:sz w:val="20"/>
        </w:rPr>
        <w:t xml:space="preserve"> as incurred</w:t>
      </w:r>
      <w:r w:rsidR="00480C9E">
        <w:rPr>
          <w:rFonts w:ascii="Arial" w:hAnsi="Arial" w:cs="Arial"/>
          <w:sz w:val="20"/>
        </w:rPr>
        <w:t xml:space="preserve"> (ASC 720-45-25-1)</w:t>
      </w:r>
      <w:r w:rsidR="001B1FD6">
        <w:rPr>
          <w:rFonts w:ascii="Arial" w:hAnsi="Arial" w:cs="Arial"/>
          <w:sz w:val="20"/>
        </w:rPr>
        <w:t xml:space="preserve">. Those costs </w:t>
      </w:r>
      <w:r>
        <w:rPr>
          <w:rFonts w:ascii="Arial" w:hAnsi="Arial" w:cs="Arial"/>
          <w:sz w:val="20"/>
        </w:rPr>
        <w:t>typically include preparation of request for proposal, current state assessment, process reengineering and restructuring the work force.</w:t>
      </w:r>
      <w:r w:rsidR="001B1FD6">
        <w:rPr>
          <w:rFonts w:ascii="Arial" w:hAnsi="Arial" w:cs="Arial"/>
          <w:sz w:val="20"/>
        </w:rPr>
        <w:t xml:space="preserve"> </w:t>
      </w:r>
      <w:r>
        <w:rPr>
          <w:rFonts w:ascii="Arial" w:hAnsi="Arial" w:cs="Arial"/>
          <w:sz w:val="20"/>
        </w:rPr>
        <w:t xml:space="preserve"> </w:t>
      </w:r>
      <w:r w:rsidR="00480C9E" w:rsidRPr="009D7A9F">
        <w:rPr>
          <w:rFonts w:ascii="Arial" w:hAnsi="Arial" w:cs="Arial"/>
          <w:sz w:val="20"/>
        </w:rPr>
        <w:t xml:space="preserve">Costs typically associated with the </w:t>
      </w:r>
      <w:r w:rsidR="00480C9E" w:rsidRPr="00480C9E">
        <w:rPr>
          <w:rFonts w:ascii="Arial" w:hAnsi="Arial" w:cs="Arial"/>
          <w:sz w:val="20"/>
        </w:rPr>
        <w:t>acquisition,</w:t>
      </w:r>
      <w:r w:rsidR="00480C9E" w:rsidRPr="009D7A9F">
        <w:rPr>
          <w:rFonts w:ascii="Arial" w:hAnsi="Arial" w:cs="Arial"/>
          <w:sz w:val="20"/>
        </w:rPr>
        <w:t xml:space="preserve"> or the construction of property and equipment phase of a business process reengineering project shall be accounted for in accordance with </w:t>
      </w:r>
      <w:r w:rsidR="00480C9E">
        <w:rPr>
          <w:rFonts w:ascii="Arial" w:hAnsi="Arial" w:cs="Arial"/>
          <w:sz w:val="20"/>
        </w:rPr>
        <w:t xml:space="preserve">the Company’s </w:t>
      </w:r>
      <w:r w:rsidR="00586B5E">
        <w:rPr>
          <w:rFonts w:ascii="Arial" w:hAnsi="Arial" w:cs="Arial"/>
          <w:sz w:val="20"/>
        </w:rPr>
        <w:t xml:space="preserve">fixed assets and software developed or purchased for internal use as discussed herein. </w:t>
      </w:r>
      <w:r w:rsidR="00480C9E">
        <w:rPr>
          <w:rFonts w:ascii="Arial" w:hAnsi="Arial" w:cs="Arial"/>
          <w:sz w:val="20"/>
        </w:rPr>
        <w:t xml:space="preserve"> </w:t>
      </w:r>
    </w:p>
    <w:p w14:paraId="0720BA7E" w14:textId="77777777" w:rsidR="00480C9E" w:rsidRDefault="00480C9E" w:rsidP="00A330EA">
      <w:pPr>
        <w:spacing w:line="0" w:lineRule="atLeast"/>
        <w:ind w:left="360"/>
        <w:contextualSpacing/>
        <w:jc w:val="both"/>
        <w:rPr>
          <w:rFonts w:ascii="Arial" w:hAnsi="Arial" w:cs="Arial"/>
          <w:sz w:val="20"/>
        </w:rPr>
      </w:pPr>
    </w:p>
    <w:p w14:paraId="28531F77" w14:textId="0284CFAF" w:rsidR="00A330EA" w:rsidRDefault="00A330EA" w:rsidP="00A330EA">
      <w:pPr>
        <w:spacing w:line="0" w:lineRule="atLeast"/>
        <w:ind w:left="360"/>
        <w:contextualSpacing/>
        <w:jc w:val="both"/>
        <w:rPr>
          <w:rFonts w:ascii="Arial" w:hAnsi="Arial" w:cs="Arial"/>
          <w:sz w:val="20"/>
        </w:rPr>
      </w:pPr>
      <w:r>
        <w:rPr>
          <w:rFonts w:ascii="Arial" w:hAnsi="Arial" w:cs="Arial"/>
          <w:sz w:val="20"/>
        </w:rPr>
        <w:t>Below is a recap of costs (list not an all-inclusive list) that should be capitalized or expensed by Project sta</w:t>
      </w:r>
      <w:r w:rsidR="00656542">
        <w:rPr>
          <w:rFonts w:ascii="Arial" w:hAnsi="Arial" w:cs="Arial"/>
          <w:sz w:val="20"/>
        </w:rPr>
        <w:t>ge and activity type</w:t>
      </w:r>
      <w:r>
        <w:rPr>
          <w:rFonts w:ascii="Arial" w:hAnsi="Arial" w:cs="Arial"/>
          <w:sz w:val="20"/>
        </w:rPr>
        <w:t xml:space="preserve">. Technical accounting should be consulted if questions. </w:t>
      </w:r>
    </w:p>
    <w:p w14:paraId="13D850D6" w14:textId="5988F9B7" w:rsidR="00E67F89" w:rsidRDefault="00E67F89">
      <w:pPr>
        <w:rPr>
          <w:rFonts w:ascii="Arial" w:hAnsi="Arial" w:cs="Arial"/>
          <w:sz w:val="20"/>
          <w:szCs w:val="24"/>
        </w:rPr>
      </w:pPr>
      <w:r>
        <w:rPr>
          <w:rFonts w:ascii="Arial" w:hAnsi="Arial" w:cs="Arial"/>
          <w:sz w:val="20"/>
        </w:rPr>
        <w:br w:type="page"/>
      </w:r>
    </w:p>
    <w:p w14:paraId="76E0B70C" w14:textId="77777777" w:rsidR="00A330EA" w:rsidRDefault="00A330EA" w:rsidP="00C42165">
      <w:pPr>
        <w:pStyle w:val="ListParagraph"/>
        <w:spacing w:line="0" w:lineRule="atLeast"/>
        <w:ind w:left="360"/>
        <w:contextualSpacing/>
        <w:jc w:val="both"/>
        <w:rPr>
          <w:rFonts w:ascii="Arial" w:hAnsi="Arial" w:cs="Arial"/>
          <w:sz w:val="20"/>
        </w:rPr>
      </w:pPr>
    </w:p>
    <w:tbl>
      <w:tblPr>
        <w:tblStyle w:val="GridTable4-Accent1"/>
        <w:tblW w:w="8725" w:type="dxa"/>
        <w:jc w:val="center"/>
        <w:tblLayout w:type="fixed"/>
        <w:tblLook w:val="04A0" w:firstRow="1" w:lastRow="0" w:firstColumn="1" w:lastColumn="0" w:noHBand="0" w:noVBand="1"/>
      </w:tblPr>
      <w:tblGrid>
        <w:gridCol w:w="2065"/>
        <w:gridCol w:w="5130"/>
        <w:gridCol w:w="1530"/>
      </w:tblGrid>
      <w:tr w:rsidR="00480C9E" w:rsidRPr="00A52813" w14:paraId="439E358E" w14:textId="77777777" w:rsidTr="009D7A9F">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0" w:type="dxa"/>
          </w:tcPr>
          <w:p w14:paraId="48CEDCE2" w14:textId="3C200D18" w:rsidR="00542865" w:rsidRPr="00313111" w:rsidRDefault="00542865" w:rsidP="006534BD">
            <w:pPr>
              <w:widowControl w:val="0"/>
              <w:spacing w:before="183" w:line="258" w:lineRule="auto"/>
              <w:ind w:right="292"/>
              <w:rPr>
                <w:rFonts w:ascii="Arial" w:hAnsi="Arial" w:cs="Arial"/>
                <w:color w:val="auto"/>
                <w:spacing w:val="-1"/>
                <w:sz w:val="18"/>
                <w:szCs w:val="18"/>
              </w:rPr>
            </w:pPr>
            <w:r>
              <w:rPr>
                <w:rFonts w:ascii="Arial" w:hAnsi="Arial" w:cs="Arial"/>
                <w:color w:val="auto"/>
                <w:spacing w:val="-1"/>
                <w:sz w:val="18"/>
                <w:szCs w:val="18"/>
              </w:rPr>
              <w:t>Project Stage</w:t>
            </w:r>
          </w:p>
        </w:tc>
        <w:tc>
          <w:tcPr>
            <w:tcW w:w="5130" w:type="dxa"/>
          </w:tcPr>
          <w:p w14:paraId="42FCADE8" w14:textId="77777777" w:rsidR="00542865" w:rsidRPr="00313111" w:rsidRDefault="00542865" w:rsidP="006534BD">
            <w:pPr>
              <w:widowControl w:val="0"/>
              <w:spacing w:before="183" w:line="258" w:lineRule="auto"/>
              <w:ind w:right="292"/>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pacing w:val="-1"/>
                <w:sz w:val="18"/>
                <w:szCs w:val="18"/>
              </w:rPr>
            </w:pPr>
            <w:r w:rsidRPr="00313111">
              <w:rPr>
                <w:rFonts w:ascii="Arial" w:hAnsi="Arial" w:cs="Arial"/>
                <w:color w:val="auto"/>
                <w:spacing w:val="-1"/>
                <w:sz w:val="18"/>
                <w:szCs w:val="18"/>
              </w:rPr>
              <w:t>Activities</w:t>
            </w:r>
          </w:p>
        </w:tc>
        <w:tc>
          <w:tcPr>
            <w:tcW w:w="1530" w:type="dxa"/>
          </w:tcPr>
          <w:p w14:paraId="72A87505" w14:textId="77777777" w:rsidR="00542865" w:rsidRPr="00313111" w:rsidRDefault="00542865" w:rsidP="006534BD">
            <w:pPr>
              <w:widowControl w:val="0"/>
              <w:spacing w:before="183" w:line="258" w:lineRule="auto"/>
              <w:ind w:right="292"/>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pacing w:val="-1"/>
                <w:sz w:val="18"/>
                <w:szCs w:val="18"/>
              </w:rPr>
            </w:pPr>
            <w:r w:rsidRPr="00313111">
              <w:rPr>
                <w:rFonts w:ascii="Arial" w:hAnsi="Arial" w:cs="Arial"/>
                <w:color w:val="auto"/>
                <w:spacing w:val="-1"/>
                <w:sz w:val="18"/>
                <w:szCs w:val="18"/>
              </w:rPr>
              <w:t>Accounting Treatment</w:t>
            </w:r>
          </w:p>
        </w:tc>
      </w:tr>
      <w:tr w:rsidR="00480C9E" w:rsidRPr="00A52813" w14:paraId="05800CEA" w14:textId="77777777" w:rsidTr="009D7A9F">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065" w:type="dxa"/>
          </w:tcPr>
          <w:p w14:paraId="61E043B0" w14:textId="53E6C29E" w:rsidR="00480C9E" w:rsidRDefault="00480C9E" w:rsidP="009D7A9F">
            <w:pPr>
              <w:widowControl w:val="0"/>
              <w:spacing w:line="258" w:lineRule="auto"/>
              <w:ind w:right="292"/>
              <w:rPr>
                <w:rFonts w:ascii="Arial" w:hAnsi="Arial" w:cs="Arial"/>
                <w:spacing w:val="-1"/>
                <w:sz w:val="18"/>
                <w:szCs w:val="18"/>
              </w:rPr>
            </w:pPr>
            <w:r>
              <w:rPr>
                <w:rFonts w:ascii="Arial" w:hAnsi="Arial" w:cs="Arial"/>
                <w:spacing w:val="-1"/>
                <w:sz w:val="18"/>
                <w:szCs w:val="18"/>
              </w:rPr>
              <w:t>Business process reengineering/ information technology transformation</w:t>
            </w:r>
          </w:p>
        </w:tc>
        <w:tc>
          <w:tcPr>
            <w:tcW w:w="0" w:type="dxa"/>
          </w:tcPr>
          <w:p w14:paraId="5C95AC86" w14:textId="77777777" w:rsidR="00480C9E" w:rsidRDefault="00480C9E" w:rsidP="006534BD">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Preparation of request for proposal</w:t>
            </w:r>
          </w:p>
          <w:p w14:paraId="4EE4D574" w14:textId="77777777" w:rsidR="00480C9E" w:rsidRDefault="00480C9E" w:rsidP="006534BD">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Current state assessment</w:t>
            </w:r>
          </w:p>
          <w:p w14:paraId="18EE4CF4" w14:textId="77777777" w:rsidR="00480C9E" w:rsidRDefault="00480C9E" w:rsidP="006534BD">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Process reengineering</w:t>
            </w:r>
          </w:p>
          <w:p w14:paraId="7391ABBF" w14:textId="786DFE59" w:rsidR="00480C9E" w:rsidRPr="00E92C24" w:rsidDel="00542865" w:rsidRDefault="00480C9E" w:rsidP="006534BD">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Restructuring work force</w:t>
            </w:r>
          </w:p>
        </w:tc>
        <w:tc>
          <w:tcPr>
            <w:tcW w:w="1530" w:type="dxa"/>
          </w:tcPr>
          <w:p w14:paraId="3676C569" w14:textId="6BF1F508" w:rsidR="00480C9E" w:rsidRDefault="00480C9E" w:rsidP="006534BD">
            <w:pPr>
              <w:widowControl w:val="0"/>
              <w:spacing w:before="183"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480C9E" w:rsidRPr="00A52813" w14:paraId="7CDC76E3" w14:textId="77777777" w:rsidTr="009D7A9F">
        <w:trPr>
          <w:trHeight w:val="327"/>
          <w:jc w:val="center"/>
        </w:trPr>
        <w:tc>
          <w:tcPr>
            <w:cnfStyle w:val="001000000000" w:firstRow="0" w:lastRow="0" w:firstColumn="1" w:lastColumn="0" w:oddVBand="0" w:evenVBand="0" w:oddHBand="0" w:evenHBand="0" w:firstRowFirstColumn="0" w:firstRowLastColumn="0" w:lastRowFirstColumn="0" w:lastRowLastColumn="0"/>
            <w:tcW w:w="2065" w:type="dxa"/>
          </w:tcPr>
          <w:p w14:paraId="2779626D" w14:textId="34A3251E" w:rsidR="00542865" w:rsidRPr="00E92C24" w:rsidRDefault="00542865" w:rsidP="009D7A9F">
            <w:pPr>
              <w:widowControl w:val="0"/>
              <w:spacing w:line="258" w:lineRule="auto"/>
              <w:ind w:right="292"/>
              <w:rPr>
                <w:rFonts w:ascii="Arial" w:hAnsi="Arial" w:cs="Arial"/>
                <w:spacing w:val="-1"/>
                <w:sz w:val="18"/>
                <w:szCs w:val="18"/>
              </w:rPr>
            </w:pPr>
            <w:r>
              <w:rPr>
                <w:rFonts w:ascii="Arial" w:hAnsi="Arial" w:cs="Arial"/>
                <w:spacing w:val="-1"/>
                <w:sz w:val="18"/>
                <w:szCs w:val="18"/>
              </w:rPr>
              <w:t xml:space="preserve">Preliminary </w:t>
            </w:r>
            <w:r w:rsidRPr="00E92C24">
              <w:rPr>
                <w:rFonts w:ascii="Arial" w:hAnsi="Arial" w:cs="Arial"/>
                <w:spacing w:val="-1"/>
                <w:sz w:val="18"/>
                <w:szCs w:val="18"/>
              </w:rPr>
              <w:t>P</w:t>
            </w:r>
            <w:r>
              <w:rPr>
                <w:rFonts w:ascii="Arial" w:hAnsi="Arial" w:cs="Arial"/>
                <w:spacing w:val="-1"/>
                <w:sz w:val="18"/>
                <w:szCs w:val="18"/>
              </w:rPr>
              <w:t>roject Stage</w:t>
            </w:r>
          </w:p>
        </w:tc>
        <w:tc>
          <w:tcPr>
            <w:tcW w:w="0" w:type="dxa"/>
          </w:tcPr>
          <w:p w14:paraId="0CADCFFA" w14:textId="2423E7E8" w:rsidR="00542865" w:rsidRDefault="00542865" w:rsidP="006534BD">
            <w:pPr>
              <w:pStyle w:val="ListParagraph"/>
              <w:widowControl w:val="0"/>
              <w:numPr>
                <w:ilvl w:val="0"/>
                <w:numId w:val="64"/>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 xml:space="preserve">Conceptual formulation of </w:t>
            </w:r>
            <w:proofErr w:type="gramStart"/>
            <w:r>
              <w:rPr>
                <w:rFonts w:ascii="Arial" w:eastAsia="Calibri" w:hAnsi="Arial" w:cs="Arial"/>
                <w:spacing w:val="-1"/>
                <w:sz w:val="18"/>
                <w:szCs w:val="18"/>
              </w:rPr>
              <w:t>idea</w:t>
            </w:r>
            <w:proofErr w:type="gramEnd"/>
            <w:r>
              <w:rPr>
                <w:rFonts w:ascii="Arial" w:eastAsia="Calibri" w:hAnsi="Arial" w:cs="Arial"/>
                <w:spacing w:val="-1"/>
                <w:sz w:val="18"/>
                <w:szCs w:val="18"/>
              </w:rPr>
              <w:t xml:space="preserve"> and alternatives</w:t>
            </w:r>
          </w:p>
          <w:p w14:paraId="6D2A648F" w14:textId="10848407" w:rsidR="00542865" w:rsidRDefault="00542865" w:rsidP="006534BD">
            <w:pPr>
              <w:pStyle w:val="ListParagraph"/>
              <w:widowControl w:val="0"/>
              <w:numPr>
                <w:ilvl w:val="0"/>
                <w:numId w:val="64"/>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Evaluation of alternatives</w:t>
            </w:r>
          </w:p>
          <w:p w14:paraId="0E60A0D0" w14:textId="46C9C4BA" w:rsidR="00542865" w:rsidRPr="00B5048D" w:rsidRDefault="00542865" w:rsidP="006534BD">
            <w:pPr>
              <w:pStyle w:val="ListParagraph"/>
              <w:widowControl w:val="0"/>
              <w:numPr>
                <w:ilvl w:val="0"/>
                <w:numId w:val="64"/>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Final section of alternatives</w:t>
            </w:r>
          </w:p>
        </w:tc>
        <w:tc>
          <w:tcPr>
            <w:tcW w:w="1530" w:type="dxa"/>
          </w:tcPr>
          <w:p w14:paraId="2C05FD8B" w14:textId="77777777" w:rsidR="00542865" w:rsidRPr="00B5048D" w:rsidRDefault="00542865" w:rsidP="006534BD">
            <w:pPr>
              <w:widowControl w:val="0"/>
              <w:spacing w:before="183" w:line="258" w:lineRule="auto"/>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355469" w:rsidRPr="00A52813" w14:paraId="165A391F" w14:textId="77777777" w:rsidTr="009D7A9F">
        <w:trPr>
          <w:cnfStyle w:val="000000100000" w:firstRow="0" w:lastRow="0" w:firstColumn="0" w:lastColumn="0" w:oddVBand="0" w:evenVBand="0" w:oddHBand="1" w:evenHBand="0" w:firstRowFirstColumn="0" w:firstRowLastColumn="0" w:lastRowFirstColumn="0" w:lastRowLastColumn="0"/>
          <w:trHeight w:val="3370"/>
          <w:jc w:val="center"/>
        </w:trPr>
        <w:tc>
          <w:tcPr>
            <w:cnfStyle w:val="001000000000" w:firstRow="0" w:lastRow="0" w:firstColumn="1" w:lastColumn="0" w:oddVBand="0" w:evenVBand="0" w:oddHBand="0" w:evenHBand="0" w:firstRowFirstColumn="0" w:firstRowLastColumn="0" w:lastRowFirstColumn="0" w:lastRowLastColumn="0"/>
            <w:tcW w:w="2065" w:type="dxa"/>
            <w:vMerge w:val="restart"/>
            <w:vAlign w:val="center"/>
          </w:tcPr>
          <w:p w14:paraId="4CD2C2D1" w14:textId="4C2BD36B" w:rsidR="00355469" w:rsidRPr="00B5048D" w:rsidRDefault="00355469" w:rsidP="0029400F">
            <w:pPr>
              <w:widowControl w:val="0"/>
              <w:spacing w:before="183" w:line="258" w:lineRule="auto"/>
              <w:ind w:right="292"/>
              <w:rPr>
                <w:rFonts w:ascii="Arial" w:hAnsi="Arial" w:cs="Arial"/>
                <w:spacing w:val="-1"/>
                <w:sz w:val="18"/>
                <w:szCs w:val="18"/>
              </w:rPr>
            </w:pPr>
            <w:proofErr w:type="gramStart"/>
            <w:r w:rsidRPr="00B5048D">
              <w:rPr>
                <w:rFonts w:ascii="Arial" w:eastAsia="Calibri" w:hAnsi="Arial" w:cs="Arial"/>
                <w:spacing w:val="-1"/>
                <w:sz w:val="18"/>
                <w:szCs w:val="18"/>
              </w:rPr>
              <w:t>Application  Development</w:t>
            </w:r>
            <w:proofErr w:type="gramEnd"/>
            <w:r w:rsidRPr="00B5048D">
              <w:rPr>
                <w:rFonts w:ascii="Arial" w:eastAsia="Calibri" w:hAnsi="Arial" w:cs="Arial"/>
                <w:spacing w:val="-1"/>
                <w:sz w:val="18"/>
                <w:szCs w:val="18"/>
              </w:rPr>
              <w:t xml:space="preserve"> </w:t>
            </w:r>
            <w:r>
              <w:rPr>
                <w:rFonts w:ascii="Arial" w:eastAsia="Calibri" w:hAnsi="Arial" w:cs="Arial"/>
                <w:spacing w:val="-1"/>
                <w:sz w:val="18"/>
                <w:szCs w:val="18"/>
              </w:rPr>
              <w:t>Stage</w:t>
            </w:r>
          </w:p>
        </w:tc>
        <w:tc>
          <w:tcPr>
            <w:tcW w:w="5130" w:type="dxa"/>
          </w:tcPr>
          <w:p w14:paraId="03533E5D" w14:textId="77777777" w:rsidR="00355469" w:rsidRDefault="00355469" w:rsidP="00355469">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Design of chosen path, including software configuration and interfaces</w:t>
            </w:r>
          </w:p>
          <w:p w14:paraId="366C1833" w14:textId="3372AA13" w:rsidR="00A570EA" w:rsidRDefault="00A570EA" w:rsidP="00355469">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Coding</w:t>
            </w:r>
          </w:p>
          <w:p w14:paraId="452BA073" w14:textId="485A84EA" w:rsidR="00A570EA" w:rsidRPr="009D7A9F" w:rsidRDefault="00A570EA" w:rsidP="009D7A9F">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 xml:space="preserve">Installation </w:t>
            </w:r>
            <w:proofErr w:type="gramStart"/>
            <w:r>
              <w:rPr>
                <w:rFonts w:ascii="Arial" w:eastAsia="Calibri" w:hAnsi="Arial" w:cs="Arial"/>
                <w:spacing w:val="-1"/>
                <w:sz w:val="18"/>
                <w:szCs w:val="18"/>
              </w:rPr>
              <w:t>to</w:t>
            </w:r>
            <w:proofErr w:type="gramEnd"/>
            <w:r>
              <w:rPr>
                <w:rFonts w:ascii="Arial" w:eastAsia="Calibri" w:hAnsi="Arial" w:cs="Arial"/>
                <w:spacing w:val="-1"/>
                <w:sz w:val="18"/>
                <w:szCs w:val="18"/>
              </w:rPr>
              <w:t xml:space="preserve"> </w:t>
            </w:r>
            <w:r w:rsidR="00480C9E">
              <w:rPr>
                <w:rFonts w:ascii="Arial" w:eastAsia="Calibri" w:hAnsi="Arial" w:cs="Arial"/>
                <w:spacing w:val="-1"/>
                <w:sz w:val="18"/>
                <w:szCs w:val="18"/>
              </w:rPr>
              <w:t>hardware</w:t>
            </w:r>
          </w:p>
          <w:p w14:paraId="298F4874" w14:textId="4BC84CB3" w:rsidR="00355469" w:rsidRPr="009D7A9F" w:rsidRDefault="00355469" w:rsidP="009D7A9F">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Testing, including parallel processing</w:t>
            </w:r>
          </w:p>
          <w:p w14:paraId="22D680BA" w14:textId="7F8435E4" w:rsidR="00355469" w:rsidRPr="009D7A9F" w:rsidRDefault="00355469" w:rsidP="009D7A9F">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Process engineering and design</w:t>
            </w:r>
          </w:p>
          <w:p w14:paraId="412EB0E8" w14:textId="38922B72" w:rsidR="00355469" w:rsidRPr="009D7A9F" w:rsidRDefault="00355469" w:rsidP="009D7A9F">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External direct costs of materials and services consumed in developing or obtaining intern-use software</w:t>
            </w:r>
          </w:p>
          <w:p w14:paraId="6F7E4A7E" w14:textId="66C8E4F1" w:rsidR="00355469" w:rsidRPr="009D7A9F" w:rsidRDefault="00355469" w:rsidP="009D7A9F">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 xml:space="preserve">Payroll and payroll-related costs for employees who are directly associated with and who devote time to the internal-use software project (to the extent of the time spent directly on the project). </w:t>
            </w:r>
          </w:p>
          <w:p w14:paraId="79913F74" w14:textId="23179CA8" w:rsidR="00355469" w:rsidRPr="009D7A9F" w:rsidRDefault="00355469" w:rsidP="009D7A9F">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proofErr w:type="gramStart"/>
            <w:r w:rsidRPr="009D7A9F">
              <w:rPr>
                <w:rFonts w:ascii="Arial" w:eastAsia="Calibri" w:hAnsi="Arial" w:cs="Arial"/>
                <w:spacing w:val="-1"/>
                <w:sz w:val="18"/>
                <w:szCs w:val="18"/>
              </w:rPr>
              <w:t>Interest</w:t>
            </w:r>
            <w:proofErr w:type="gramEnd"/>
            <w:r w:rsidRPr="009D7A9F">
              <w:rPr>
                <w:rFonts w:ascii="Arial" w:eastAsia="Calibri" w:hAnsi="Arial" w:cs="Arial"/>
                <w:spacing w:val="-1"/>
                <w:sz w:val="18"/>
                <w:szCs w:val="18"/>
              </w:rPr>
              <w:t xml:space="preserve"> costs incurred in developing software for internal use</w:t>
            </w:r>
          </w:p>
          <w:p w14:paraId="61509334" w14:textId="1CA90141" w:rsidR="00355469" w:rsidRPr="009D7A9F" w:rsidRDefault="00355469" w:rsidP="009D7A9F">
            <w:pPr>
              <w:numPr>
                <w:ilvl w:val="0"/>
                <w:numId w:val="64"/>
              </w:numPr>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 xml:space="preserve">Costs to </w:t>
            </w:r>
            <w:r w:rsidRPr="006534BD">
              <w:rPr>
                <w:rFonts w:ascii="Arial" w:eastAsia="Calibri" w:hAnsi="Arial" w:cs="Arial"/>
                <w:spacing w:val="-1"/>
                <w:sz w:val="18"/>
                <w:szCs w:val="18"/>
              </w:rPr>
              <w:t>develop or obtain software that allows for access or conversion of old data by new systems</w:t>
            </w:r>
          </w:p>
        </w:tc>
        <w:tc>
          <w:tcPr>
            <w:tcW w:w="0" w:type="dxa"/>
          </w:tcPr>
          <w:p w14:paraId="6B2C1CD0" w14:textId="77777777" w:rsidR="00355469" w:rsidRPr="00B5048D" w:rsidRDefault="00355469" w:rsidP="006534BD">
            <w:pPr>
              <w:widowControl w:val="0"/>
              <w:spacing w:before="183"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r w:rsidR="00355469" w:rsidRPr="00A52813" w14:paraId="01243456" w14:textId="77777777" w:rsidTr="009D7A9F">
        <w:trPr>
          <w:jc w:val="center"/>
        </w:trPr>
        <w:tc>
          <w:tcPr>
            <w:cnfStyle w:val="001000000000" w:firstRow="0" w:lastRow="0" w:firstColumn="1" w:lastColumn="0" w:oddVBand="0" w:evenVBand="0" w:oddHBand="0" w:evenHBand="0" w:firstRowFirstColumn="0" w:firstRowLastColumn="0" w:lastRowFirstColumn="0" w:lastRowLastColumn="0"/>
            <w:tcW w:w="2065" w:type="dxa"/>
            <w:vMerge/>
          </w:tcPr>
          <w:p w14:paraId="26B24A4C" w14:textId="77777777" w:rsidR="00355469" w:rsidRDefault="00355469" w:rsidP="009D7A9F">
            <w:pPr>
              <w:widowControl w:val="0"/>
              <w:spacing w:line="258" w:lineRule="auto"/>
              <w:ind w:right="292"/>
              <w:rPr>
                <w:rFonts w:ascii="Arial" w:hAnsi="Arial" w:cs="Arial"/>
                <w:spacing w:val="-1"/>
                <w:sz w:val="18"/>
                <w:szCs w:val="18"/>
              </w:rPr>
            </w:pPr>
          </w:p>
        </w:tc>
        <w:tc>
          <w:tcPr>
            <w:tcW w:w="5130" w:type="dxa"/>
          </w:tcPr>
          <w:p w14:paraId="417AECBA" w14:textId="1A8564FE" w:rsidR="00355469" w:rsidRPr="009D7A9F" w:rsidRDefault="00355469" w:rsidP="009D7A9F">
            <w:pPr>
              <w:pStyle w:val="ListParagraph"/>
              <w:widowControl w:val="0"/>
              <w:numPr>
                <w:ilvl w:val="0"/>
                <w:numId w:val="64"/>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Data conversion costs</w:t>
            </w:r>
          </w:p>
          <w:p w14:paraId="0A88A23A" w14:textId="77777777" w:rsidR="00355469" w:rsidRPr="00B7453A" w:rsidRDefault="00355469" w:rsidP="009D7A9F">
            <w:pPr>
              <w:pStyle w:val="ListParagraph"/>
              <w:widowControl w:val="0"/>
              <w:numPr>
                <w:ilvl w:val="0"/>
                <w:numId w:val="64"/>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sidRPr="009D7A9F">
              <w:rPr>
                <w:rFonts w:ascii="Arial" w:eastAsia="Calibri" w:hAnsi="Arial" w:cs="Arial"/>
                <w:spacing w:val="-1"/>
                <w:sz w:val="18"/>
                <w:szCs w:val="18"/>
              </w:rPr>
              <w:t xml:space="preserve">Training </w:t>
            </w:r>
          </w:p>
          <w:p w14:paraId="20D913B0" w14:textId="2388C5B4" w:rsidR="00020DE7" w:rsidRPr="00B7453A" w:rsidRDefault="00EC08CF" w:rsidP="00020DE7">
            <w:pPr>
              <w:pStyle w:val="ListParagraph"/>
              <w:widowControl w:val="0"/>
              <w:numPr>
                <w:ilvl w:val="0"/>
                <w:numId w:val="64"/>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P</w:t>
            </w:r>
            <w:r w:rsidR="00020DE7" w:rsidRPr="009D7A9F">
              <w:rPr>
                <w:rFonts w:ascii="Arial" w:eastAsia="Calibri" w:hAnsi="Arial" w:cs="Arial"/>
                <w:spacing w:val="-1"/>
                <w:sz w:val="18"/>
                <w:szCs w:val="18"/>
              </w:rPr>
              <w:t>roject management</w:t>
            </w:r>
            <w:r w:rsidR="00020DE7">
              <w:rPr>
                <w:rFonts w:ascii="Arial" w:eastAsia="Calibri" w:hAnsi="Arial" w:cs="Arial"/>
                <w:spacing w:val="-1"/>
                <w:sz w:val="18"/>
                <w:szCs w:val="18"/>
              </w:rPr>
              <w:t xml:space="preserve"> (IMM)</w:t>
            </w:r>
          </w:p>
        </w:tc>
        <w:tc>
          <w:tcPr>
            <w:tcW w:w="0" w:type="dxa"/>
          </w:tcPr>
          <w:p w14:paraId="42D504C1" w14:textId="776D7F21" w:rsidR="00355469" w:rsidRDefault="00355469" w:rsidP="009D7A9F">
            <w:pPr>
              <w:widowControl w:val="0"/>
              <w:spacing w:line="258" w:lineRule="auto"/>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29400F" w:rsidRPr="00A52813" w14:paraId="1FC18D4D" w14:textId="77777777" w:rsidTr="009D7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vMerge w:val="restart"/>
          </w:tcPr>
          <w:p w14:paraId="6935E77D" w14:textId="4C6C1A07" w:rsidR="0029400F" w:rsidRPr="00B5048D" w:rsidRDefault="0029400F" w:rsidP="0029400F">
            <w:pPr>
              <w:widowControl w:val="0"/>
              <w:spacing w:line="258" w:lineRule="auto"/>
              <w:ind w:right="292"/>
              <w:rPr>
                <w:rFonts w:ascii="Arial" w:hAnsi="Arial" w:cs="Arial"/>
                <w:b w:val="0"/>
                <w:bCs w:val="0"/>
                <w:spacing w:val="-1"/>
                <w:sz w:val="18"/>
                <w:szCs w:val="18"/>
              </w:rPr>
            </w:pPr>
            <w:r>
              <w:rPr>
                <w:rFonts w:ascii="Arial" w:eastAsia="Calibri" w:hAnsi="Arial" w:cs="Arial"/>
                <w:spacing w:val="-1"/>
                <w:sz w:val="18"/>
                <w:szCs w:val="18"/>
              </w:rPr>
              <w:t>Post-Implementation/ Operation Stage</w:t>
            </w:r>
          </w:p>
          <w:p w14:paraId="348BEF76" w14:textId="6A2F57EE" w:rsidR="0029400F" w:rsidRPr="00B5048D" w:rsidRDefault="0029400F" w:rsidP="009D7A9F">
            <w:pPr>
              <w:widowControl w:val="0"/>
              <w:ind w:right="292"/>
              <w:rPr>
                <w:rFonts w:ascii="Arial" w:hAnsi="Arial" w:cs="Arial"/>
                <w:spacing w:val="-1"/>
                <w:sz w:val="18"/>
                <w:szCs w:val="18"/>
              </w:rPr>
            </w:pPr>
          </w:p>
        </w:tc>
        <w:tc>
          <w:tcPr>
            <w:tcW w:w="0" w:type="dxa"/>
          </w:tcPr>
          <w:p w14:paraId="3641A043" w14:textId="354D3A0D" w:rsidR="0029400F" w:rsidRDefault="0029400F" w:rsidP="009D7A9F">
            <w:pPr>
              <w:pStyle w:val="ListParagraph"/>
              <w:widowControl w:val="0"/>
              <w:numPr>
                <w:ilvl w:val="0"/>
                <w:numId w:val="64"/>
              </w:numPr>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 xml:space="preserve">Training </w:t>
            </w:r>
          </w:p>
          <w:p w14:paraId="5D734B09" w14:textId="6EB8D079" w:rsidR="0029400F" w:rsidRPr="009D7A9F" w:rsidRDefault="0029400F" w:rsidP="0029400F">
            <w:pPr>
              <w:pStyle w:val="ListParagraph"/>
              <w:widowControl w:val="0"/>
              <w:numPr>
                <w:ilvl w:val="0"/>
                <w:numId w:val="64"/>
              </w:numPr>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 xml:space="preserve">Application maintenance </w:t>
            </w:r>
            <w:r w:rsidR="007A7604">
              <w:rPr>
                <w:rFonts w:ascii="Arial" w:eastAsia="Calibri" w:hAnsi="Arial" w:cs="Arial"/>
                <w:spacing w:val="-1"/>
                <w:sz w:val="18"/>
                <w:szCs w:val="18"/>
              </w:rPr>
              <w:t xml:space="preserve">costs (or minor updates and enhancements costs that cannot be reasonably separated from maintenance costs). </w:t>
            </w:r>
            <w:r w:rsidR="007A7604" w:rsidRPr="009D7A9F">
              <w:rPr>
                <w:rFonts w:ascii="Arial" w:eastAsia="Calibri" w:hAnsi="Arial" w:cs="Arial"/>
                <w:i/>
                <w:iCs/>
                <w:spacing w:val="-1"/>
                <w:sz w:val="18"/>
                <w:szCs w:val="18"/>
              </w:rPr>
              <w:t>See below</w:t>
            </w:r>
          </w:p>
          <w:p w14:paraId="776E6106" w14:textId="01849070" w:rsidR="00A570EA" w:rsidRPr="009D7A9F" w:rsidRDefault="00A570EA" w:rsidP="009D7A9F">
            <w:pPr>
              <w:pStyle w:val="ListParagraph"/>
              <w:widowControl w:val="0"/>
              <w:numPr>
                <w:ilvl w:val="0"/>
                <w:numId w:val="64"/>
              </w:numPr>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Ongoing support</w:t>
            </w:r>
          </w:p>
        </w:tc>
        <w:tc>
          <w:tcPr>
            <w:tcW w:w="1530" w:type="dxa"/>
          </w:tcPr>
          <w:p w14:paraId="608D173E" w14:textId="77777777" w:rsidR="0029400F" w:rsidRPr="00B5048D" w:rsidRDefault="0029400F" w:rsidP="009D7A9F">
            <w:pPr>
              <w:widowControl w:val="0"/>
              <w:spacing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29400F" w:rsidRPr="00A52813" w14:paraId="68064C4E" w14:textId="77777777" w:rsidTr="009D7A9F">
        <w:trPr>
          <w:jc w:val="center"/>
        </w:trPr>
        <w:tc>
          <w:tcPr>
            <w:cnfStyle w:val="001000000000" w:firstRow="0" w:lastRow="0" w:firstColumn="1" w:lastColumn="0" w:oddVBand="0" w:evenVBand="0" w:oddHBand="0" w:evenHBand="0" w:firstRowFirstColumn="0" w:firstRowLastColumn="0" w:lastRowFirstColumn="0" w:lastRowLastColumn="0"/>
            <w:tcW w:w="2065" w:type="dxa"/>
            <w:vMerge/>
          </w:tcPr>
          <w:p w14:paraId="2589C6B4" w14:textId="12949572" w:rsidR="0029400F" w:rsidRPr="00B5048D" w:rsidRDefault="0029400F" w:rsidP="009D7A9F">
            <w:pPr>
              <w:widowControl w:val="0"/>
              <w:ind w:right="292"/>
              <w:rPr>
                <w:rFonts w:ascii="Arial" w:eastAsia="Calibri" w:hAnsi="Arial" w:cs="Arial"/>
                <w:spacing w:val="-1"/>
                <w:sz w:val="18"/>
                <w:szCs w:val="18"/>
              </w:rPr>
            </w:pPr>
          </w:p>
        </w:tc>
        <w:tc>
          <w:tcPr>
            <w:tcW w:w="0" w:type="dxa"/>
          </w:tcPr>
          <w:p w14:paraId="7347056A" w14:textId="77777777" w:rsidR="007A7604" w:rsidRPr="009D7A9F" w:rsidRDefault="0029400F" w:rsidP="009D7A9F">
            <w:pPr>
              <w:widowControl w:val="0"/>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Upgrades and enhancements that result in additional functionality (i.e., enable the software to perform tasks that it was previously incapable of performing).</w:t>
            </w:r>
            <w:r w:rsidR="00A330EA" w:rsidRPr="009D7A9F">
              <w:rPr>
                <w:rFonts w:ascii="Arial" w:eastAsia="Calibri" w:hAnsi="Arial" w:cs="Arial"/>
                <w:spacing w:val="-1"/>
                <w:sz w:val="18"/>
                <w:szCs w:val="18"/>
              </w:rPr>
              <w:t xml:space="preserve"> </w:t>
            </w:r>
          </w:p>
          <w:p w14:paraId="190D3BE5" w14:textId="17C10A4C" w:rsidR="007A7604" w:rsidRDefault="007A7604" w:rsidP="0029400F">
            <w:pPr>
              <w:pStyle w:val="ListParagraph"/>
              <w:widowControl w:val="0"/>
              <w:numPr>
                <w:ilvl w:val="0"/>
                <w:numId w:val="72"/>
              </w:numPr>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 xml:space="preserve">Apply </w:t>
            </w:r>
            <w:r w:rsidR="00A330EA" w:rsidRPr="007A7604">
              <w:rPr>
                <w:rFonts w:ascii="Arial" w:eastAsia="Calibri" w:hAnsi="Arial" w:cs="Arial"/>
                <w:spacing w:val="-1"/>
                <w:sz w:val="18"/>
                <w:szCs w:val="18"/>
              </w:rPr>
              <w:t>the same accounting model</w:t>
            </w:r>
            <w:r w:rsidR="00A330EA" w:rsidRPr="009D7A9F">
              <w:rPr>
                <w:rFonts w:ascii="Arial" w:eastAsia="Calibri" w:hAnsi="Arial" w:cs="Arial"/>
                <w:spacing w:val="-1"/>
                <w:sz w:val="18"/>
                <w:szCs w:val="18"/>
              </w:rPr>
              <w:t xml:space="preserve">/project stage </w:t>
            </w:r>
            <w:r w:rsidR="00A330EA" w:rsidRPr="007A7604">
              <w:rPr>
                <w:rFonts w:ascii="Arial" w:eastAsia="Calibri" w:hAnsi="Arial" w:cs="Arial"/>
                <w:spacing w:val="-1"/>
                <w:sz w:val="18"/>
                <w:szCs w:val="18"/>
              </w:rPr>
              <w:t>as other internal-use software costs (i.e., qualifying costs are capitalized during the application development stage)</w:t>
            </w:r>
            <w:r w:rsidR="00A330EA" w:rsidRPr="009D7A9F">
              <w:rPr>
                <w:rFonts w:ascii="Arial" w:eastAsia="Calibri" w:hAnsi="Arial" w:cs="Arial"/>
                <w:spacing w:val="-1"/>
                <w:sz w:val="18"/>
                <w:szCs w:val="18"/>
              </w:rPr>
              <w:t xml:space="preserve">, </w:t>
            </w:r>
            <w:r w:rsidR="00A330EA" w:rsidRPr="009D7A9F">
              <w:rPr>
                <w:rFonts w:ascii="Arial" w:eastAsia="Calibri" w:hAnsi="Arial" w:cs="Arial"/>
                <w:spacing w:val="-1"/>
                <w:sz w:val="18"/>
                <w:szCs w:val="18"/>
                <w:u w:val="single"/>
              </w:rPr>
              <w:t xml:space="preserve">provided it is probable that the </w:t>
            </w:r>
            <w:proofErr w:type="gramStart"/>
            <w:r w:rsidRPr="009D7A9F">
              <w:rPr>
                <w:rFonts w:ascii="Arial" w:eastAsia="Calibri" w:hAnsi="Arial" w:cs="Arial"/>
                <w:spacing w:val="-1"/>
                <w:sz w:val="18"/>
                <w:szCs w:val="18"/>
                <w:u w:val="single"/>
              </w:rPr>
              <w:t>expenditures</w:t>
            </w:r>
            <w:proofErr w:type="gramEnd"/>
            <w:r w:rsidRPr="009D7A9F">
              <w:rPr>
                <w:rFonts w:ascii="Arial" w:eastAsia="Calibri" w:hAnsi="Arial" w:cs="Arial"/>
                <w:spacing w:val="-1"/>
                <w:sz w:val="18"/>
                <w:szCs w:val="18"/>
                <w:u w:val="single"/>
              </w:rPr>
              <w:t xml:space="preserve"> will result in additional </w:t>
            </w:r>
            <w:r w:rsidRPr="007A7604">
              <w:rPr>
                <w:rFonts w:ascii="Arial" w:eastAsia="Calibri" w:hAnsi="Arial" w:cs="Arial"/>
                <w:spacing w:val="-1"/>
                <w:sz w:val="18"/>
                <w:szCs w:val="18"/>
                <w:u w:val="single"/>
              </w:rPr>
              <w:t>functionality</w:t>
            </w:r>
            <w:r w:rsidR="0029400F">
              <w:rPr>
                <w:rFonts w:ascii="Arial" w:eastAsia="Calibri" w:hAnsi="Arial" w:cs="Arial"/>
                <w:spacing w:val="-1"/>
                <w:sz w:val="18"/>
                <w:szCs w:val="18"/>
              </w:rPr>
              <w:t xml:space="preserve"> </w:t>
            </w:r>
          </w:p>
          <w:p w14:paraId="3198A50F" w14:textId="4322A44C" w:rsidR="0029400F" w:rsidRPr="009D7A9F" w:rsidRDefault="007A7604" w:rsidP="009D7A9F">
            <w:pPr>
              <w:pStyle w:val="ListParagraph"/>
              <w:widowControl w:val="0"/>
              <w:numPr>
                <w:ilvl w:val="0"/>
                <w:numId w:val="72"/>
              </w:numPr>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If you cannot reasonably separate costs of relatively minor upgrades and enhancements from costs of maintenance, the cost of those minor upgrades and enhancements should be expensed as incurred, as noted in application maintenance costs above.</w:t>
            </w:r>
          </w:p>
        </w:tc>
        <w:tc>
          <w:tcPr>
            <w:tcW w:w="1530" w:type="dxa"/>
          </w:tcPr>
          <w:p w14:paraId="4800F6BB" w14:textId="2305D8A5" w:rsidR="0029400F" w:rsidRPr="00B5048D" w:rsidRDefault="0029400F" w:rsidP="009D7A9F">
            <w:pPr>
              <w:widowControl w:val="0"/>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bl>
    <w:p w14:paraId="57B70242" w14:textId="77777777" w:rsidR="00542865" w:rsidRDefault="00542865" w:rsidP="009D7A9F">
      <w:pPr>
        <w:pStyle w:val="ListParagraph"/>
        <w:ind w:left="360"/>
        <w:contextualSpacing/>
        <w:jc w:val="both"/>
        <w:rPr>
          <w:rFonts w:ascii="Arial" w:hAnsi="Arial" w:cs="Arial"/>
          <w:sz w:val="20"/>
        </w:rPr>
      </w:pPr>
    </w:p>
    <w:p w14:paraId="6DB266B5" w14:textId="77777777" w:rsidR="00DF7DFD" w:rsidRDefault="00F62BB8" w:rsidP="00C96CD5">
      <w:pPr>
        <w:spacing w:line="0" w:lineRule="atLeast"/>
        <w:ind w:left="360"/>
        <w:jc w:val="both"/>
        <w:rPr>
          <w:rFonts w:ascii="Century Gothic" w:hAnsi="Century Gothic" w:cs="Arial"/>
          <w:sz w:val="20"/>
        </w:rPr>
      </w:pPr>
      <w:r>
        <w:rPr>
          <w:rFonts w:ascii="Century Gothic" w:hAnsi="Century Gothic" w:cs="Arial"/>
          <w:b/>
          <w:sz w:val="20"/>
        </w:rPr>
        <w:t xml:space="preserve">11.4 </w:t>
      </w:r>
      <w:bookmarkStart w:id="49" w:name="SWPurchIntUse"/>
      <w:r>
        <w:rPr>
          <w:rFonts w:ascii="Century Gothic" w:hAnsi="Century Gothic" w:cs="Arial"/>
          <w:b/>
          <w:sz w:val="20"/>
        </w:rPr>
        <w:t>Software Purchased for Internal Use</w:t>
      </w:r>
      <w:bookmarkEnd w:id="49"/>
    </w:p>
    <w:p w14:paraId="701B20C4" w14:textId="3254EE09" w:rsidR="00DF7DFD"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 xml:space="preserve">Certain expenses involved in purchasing software for internal use may be capitalized.  The purchase price of internal-use software may include multiple elements, such as training for the software, maintenance fees for routine maintenance work to be performed by the third party, data conversion costs, process reengineering costs, and rights to future upgrades and enhancements. The contract must be </w:t>
      </w:r>
      <w:r w:rsidR="00B20576">
        <w:rPr>
          <w:rFonts w:ascii="Arial" w:hAnsi="Arial" w:cs="Arial"/>
          <w:sz w:val="20"/>
        </w:rPr>
        <w:t>reviewed,</w:t>
      </w:r>
      <w:r>
        <w:rPr>
          <w:rFonts w:ascii="Arial" w:hAnsi="Arial" w:cs="Arial"/>
          <w:sz w:val="20"/>
        </w:rPr>
        <w:t xml:space="preserve"> and costs allocated among all the individual elements following the relative allocation method based on objective evidence of fair value of the elements of the contract, not necessarily separate prices stated within the contract or vendor invoices for each element. The individual elements identified in the contract should be accounted for (capitalized or expensed) based on the stage of development of the purchased software and type of activity as described under subsection “Software Developed for Internal Use”.</w:t>
      </w:r>
    </w:p>
    <w:p w14:paraId="5BC4F883" w14:textId="77777777" w:rsidR="00DF7DFD" w:rsidRDefault="00DF7DFD" w:rsidP="00DC178B">
      <w:pPr>
        <w:pStyle w:val="ListParagraph"/>
        <w:spacing w:line="0" w:lineRule="atLeast"/>
        <w:ind w:left="360" w:firstLine="390"/>
        <w:contextualSpacing/>
        <w:jc w:val="both"/>
        <w:rPr>
          <w:rFonts w:ascii="Arial" w:hAnsi="Arial" w:cs="Arial"/>
          <w:sz w:val="20"/>
        </w:rPr>
      </w:pPr>
    </w:p>
    <w:p w14:paraId="58508768" w14:textId="77777777" w:rsidR="00E67F89" w:rsidRDefault="00E67F89">
      <w:pPr>
        <w:rPr>
          <w:rFonts w:ascii="Century Gothic" w:hAnsi="Century Gothic" w:cs="Arial"/>
          <w:b/>
          <w:sz w:val="20"/>
          <w:szCs w:val="24"/>
        </w:rPr>
      </w:pPr>
      <w:r>
        <w:rPr>
          <w:rFonts w:ascii="Century Gothic" w:hAnsi="Century Gothic" w:cs="Arial"/>
          <w:b/>
          <w:sz w:val="20"/>
        </w:rPr>
        <w:br w:type="page"/>
      </w:r>
    </w:p>
    <w:p w14:paraId="2E7E966D" w14:textId="16D08379" w:rsidR="00DF7DFD" w:rsidRDefault="00F62BB8" w:rsidP="00DC178B">
      <w:pPr>
        <w:pStyle w:val="ListParagraph"/>
        <w:spacing w:line="0" w:lineRule="atLeast"/>
        <w:ind w:left="360"/>
        <w:contextualSpacing/>
        <w:jc w:val="both"/>
        <w:rPr>
          <w:rFonts w:ascii="Century Gothic" w:hAnsi="Century Gothic" w:cs="Arial"/>
          <w:b/>
          <w:sz w:val="20"/>
        </w:rPr>
      </w:pPr>
      <w:r>
        <w:rPr>
          <w:rFonts w:ascii="Century Gothic" w:hAnsi="Century Gothic" w:cs="Arial"/>
          <w:b/>
          <w:sz w:val="20"/>
        </w:rPr>
        <w:t xml:space="preserve">11.5 </w:t>
      </w:r>
      <w:bookmarkStart w:id="50" w:name="SAAS"/>
      <w:r>
        <w:rPr>
          <w:rFonts w:ascii="Century Gothic" w:hAnsi="Century Gothic" w:cs="Arial"/>
          <w:b/>
          <w:sz w:val="20"/>
        </w:rPr>
        <w:t>Software Licensed through a Software as a Service (SaaS) Contract</w:t>
      </w:r>
      <w:bookmarkEnd w:id="50"/>
    </w:p>
    <w:p w14:paraId="495DAF76" w14:textId="77777777" w:rsidR="00DF7DFD"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 xml:space="preserve">Bioventus licenses certain internal-use software from third parties.  For a cloud computing contract (or ‘hosting arrangement’, such as Software as a Service, or SaaS) that includes a license to software, the fee attributable to the software license portion of the arrangement should be capitalized when the criteria for capitalization of internal-use software are met. A SaaS contract includes a software license if it meets both of the following criteria: </w:t>
      </w:r>
    </w:p>
    <w:p w14:paraId="2A210FDF" w14:textId="77777777" w:rsidR="00DF7DFD" w:rsidRDefault="00F62BB8" w:rsidP="00DC178B">
      <w:pPr>
        <w:pStyle w:val="ListParagraph"/>
        <w:numPr>
          <w:ilvl w:val="0"/>
          <w:numId w:val="32"/>
        </w:numPr>
        <w:spacing w:line="0" w:lineRule="atLeast"/>
        <w:contextualSpacing/>
        <w:jc w:val="both"/>
        <w:rPr>
          <w:rFonts w:ascii="Arial" w:hAnsi="Arial" w:cs="Arial"/>
          <w:sz w:val="20"/>
        </w:rPr>
      </w:pPr>
      <w:r>
        <w:rPr>
          <w:rFonts w:ascii="Arial" w:hAnsi="Arial" w:cs="Arial"/>
          <w:sz w:val="20"/>
        </w:rPr>
        <w:t xml:space="preserve">Bioventus has the contractual right to take possession of the software at any time during the hosting period without significant penalty (i.e., Bioventus </w:t>
      </w:r>
      <w:proofErr w:type="gramStart"/>
      <w:r>
        <w:rPr>
          <w:rFonts w:ascii="Arial" w:hAnsi="Arial" w:cs="Arial"/>
          <w:sz w:val="20"/>
        </w:rPr>
        <w:t>has the ability to</w:t>
      </w:r>
      <w:proofErr w:type="gramEnd"/>
      <w:r>
        <w:rPr>
          <w:rFonts w:ascii="Arial" w:hAnsi="Arial" w:cs="Arial"/>
          <w:sz w:val="20"/>
        </w:rPr>
        <w:t xml:space="preserve"> take delivery without incurring significant </w:t>
      </w:r>
      <w:proofErr w:type="gramStart"/>
      <w:r>
        <w:rPr>
          <w:rFonts w:ascii="Arial" w:hAnsi="Arial" w:cs="Arial"/>
          <w:sz w:val="20"/>
        </w:rPr>
        <w:t>cost</w:t>
      </w:r>
      <w:proofErr w:type="gramEnd"/>
      <w:r>
        <w:rPr>
          <w:rFonts w:ascii="Arial" w:hAnsi="Arial" w:cs="Arial"/>
          <w:sz w:val="20"/>
        </w:rPr>
        <w:t xml:space="preserve">, and the ability to use the software separately without significant reduction in utility or value). </w:t>
      </w:r>
    </w:p>
    <w:p w14:paraId="516A94DC" w14:textId="77777777" w:rsidR="00DF7DFD" w:rsidRDefault="00F62BB8" w:rsidP="00B5048D">
      <w:pPr>
        <w:pStyle w:val="ListParagraph"/>
        <w:numPr>
          <w:ilvl w:val="0"/>
          <w:numId w:val="32"/>
        </w:numPr>
        <w:spacing w:line="0" w:lineRule="atLeast"/>
        <w:contextualSpacing/>
        <w:jc w:val="both"/>
        <w:rPr>
          <w:rFonts w:ascii="Arial" w:hAnsi="Arial" w:cs="Arial"/>
          <w:sz w:val="20"/>
        </w:rPr>
      </w:pPr>
      <w:r>
        <w:rPr>
          <w:rFonts w:ascii="Arial" w:hAnsi="Arial" w:cs="Arial"/>
          <w:sz w:val="20"/>
        </w:rPr>
        <w:t>It is feasible for Bioventus to run the software on its own hardware or contract with another unrelated party to host the software.</w:t>
      </w:r>
    </w:p>
    <w:p w14:paraId="00DD9444" w14:textId="77777777" w:rsidR="00DF7DFD" w:rsidRDefault="00DF7DFD" w:rsidP="00B5048D">
      <w:pPr>
        <w:pStyle w:val="ListParagraph"/>
        <w:spacing w:line="0" w:lineRule="atLeast"/>
        <w:ind w:left="360"/>
        <w:contextualSpacing/>
        <w:jc w:val="both"/>
        <w:rPr>
          <w:rFonts w:ascii="Arial" w:hAnsi="Arial" w:cs="Arial"/>
          <w:sz w:val="20"/>
        </w:rPr>
      </w:pPr>
    </w:p>
    <w:p w14:paraId="49E38834" w14:textId="0EE72B36" w:rsidR="00DE6A8E" w:rsidRPr="00F95F70" w:rsidRDefault="00F62BB8" w:rsidP="00B5048D">
      <w:pPr>
        <w:pStyle w:val="ListParagraph"/>
        <w:spacing w:line="0" w:lineRule="atLeast"/>
        <w:ind w:left="360"/>
        <w:contextualSpacing/>
        <w:jc w:val="both"/>
        <w:rPr>
          <w:rFonts w:ascii="Arial" w:hAnsi="Arial" w:cs="Arial"/>
          <w:sz w:val="20"/>
          <w:szCs w:val="20"/>
        </w:rPr>
      </w:pPr>
      <w:r>
        <w:rPr>
          <w:rFonts w:ascii="Arial" w:hAnsi="Arial" w:cs="Arial"/>
          <w:sz w:val="20"/>
        </w:rPr>
        <w:t xml:space="preserve">A SaaS contract that meets the above criteria are considered multiple-element arrangements to purchase both a software license and a service of hosting the software. In such arrangements, the consideration should be allocated between the license and the hosting elements, using the relative fair value of each element. The consideration allocated to the hosting element is the service fee that should be </w:t>
      </w:r>
      <w:proofErr w:type="gramStart"/>
      <w:r>
        <w:rPr>
          <w:rFonts w:ascii="Arial" w:hAnsi="Arial" w:cs="Arial"/>
          <w:sz w:val="20"/>
        </w:rPr>
        <w:t>expensed</w:t>
      </w:r>
      <w:proofErr w:type="gramEnd"/>
      <w:r>
        <w:rPr>
          <w:rFonts w:ascii="Arial" w:hAnsi="Arial" w:cs="Arial"/>
          <w:sz w:val="20"/>
        </w:rPr>
        <w:t xml:space="preserve"> as the services are incurred. The consideration allocated to the software license element is the purchased license and the </w:t>
      </w:r>
      <w:proofErr w:type="gramStart"/>
      <w:r>
        <w:rPr>
          <w:rFonts w:ascii="Arial" w:hAnsi="Arial" w:cs="Arial"/>
          <w:sz w:val="20"/>
        </w:rPr>
        <w:t>internal-use</w:t>
      </w:r>
      <w:proofErr w:type="gramEnd"/>
      <w:r>
        <w:rPr>
          <w:rFonts w:ascii="Arial" w:hAnsi="Arial" w:cs="Arial"/>
          <w:sz w:val="20"/>
        </w:rPr>
        <w:t xml:space="preserve"> software guidance discussed above applies.  </w:t>
      </w:r>
      <w:r w:rsidR="00087C5F" w:rsidRPr="00F95F70">
        <w:rPr>
          <w:rFonts w:ascii="Arial" w:hAnsi="Arial" w:cs="Arial"/>
          <w:sz w:val="20"/>
          <w:szCs w:val="20"/>
        </w:rPr>
        <w:t xml:space="preserve">Deferred implementation costs are expensed </w:t>
      </w:r>
      <w:r w:rsidR="000D76E8">
        <w:rPr>
          <w:rFonts w:ascii="Arial" w:hAnsi="Arial" w:cs="Arial"/>
          <w:sz w:val="20"/>
          <w:szCs w:val="20"/>
        </w:rPr>
        <w:t xml:space="preserve">on a straight-line basis </w:t>
      </w:r>
      <w:r w:rsidR="00087C5F" w:rsidRPr="00F95F70">
        <w:rPr>
          <w:rFonts w:ascii="Arial" w:hAnsi="Arial" w:cs="Arial"/>
          <w:sz w:val="20"/>
          <w:szCs w:val="20"/>
        </w:rPr>
        <w:t>over the t</w:t>
      </w:r>
      <w:r w:rsidR="000D76E8" w:rsidRPr="000D76E8">
        <w:rPr>
          <w:rFonts w:ascii="Arial" w:hAnsi="Arial" w:cs="Arial"/>
          <w:sz w:val="20"/>
          <w:szCs w:val="20"/>
        </w:rPr>
        <w:t>erm of the hosting arrangement (</w:t>
      </w:r>
      <w:r w:rsidR="00087C5F" w:rsidRPr="00F95F70">
        <w:rPr>
          <w:rFonts w:ascii="Arial" w:hAnsi="Arial" w:cs="Arial"/>
          <w:sz w:val="20"/>
          <w:szCs w:val="20"/>
        </w:rPr>
        <w:t xml:space="preserve">fixed, noncancelable term of the </w:t>
      </w:r>
      <w:r w:rsidR="009171ED">
        <w:rPr>
          <w:rFonts w:ascii="Arial" w:hAnsi="Arial" w:cs="Arial"/>
          <w:sz w:val="20"/>
          <w:szCs w:val="20"/>
        </w:rPr>
        <w:t xml:space="preserve">hosting </w:t>
      </w:r>
      <w:r w:rsidR="00087C5F" w:rsidRPr="00F95F70">
        <w:rPr>
          <w:rFonts w:ascii="Arial" w:hAnsi="Arial" w:cs="Arial"/>
          <w:sz w:val="20"/>
          <w:szCs w:val="20"/>
        </w:rPr>
        <w:t>arrangement, plus any reasonably certain renewal periods</w:t>
      </w:r>
      <w:r w:rsidR="000D76E8">
        <w:rPr>
          <w:rFonts w:ascii="Arial" w:hAnsi="Arial" w:cs="Arial"/>
          <w:sz w:val="20"/>
          <w:szCs w:val="20"/>
        </w:rPr>
        <w:t>) for each module or component of the related hosting arrangement when it is ready for its intended use</w:t>
      </w:r>
      <w:r w:rsidR="00087C5F" w:rsidRPr="00F95F70">
        <w:rPr>
          <w:rFonts w:ascii="Arial" w:hAnsi="Arial" w:cs="Arial"/>
          <w:sz w:val="20"/>
          <w:szCs w:val="20"/>
        </w:rPr>
        <w:t>.</w:t>
      </w:r>
      <w:r w:rsidR="00087C5F">
        <w:rPr>
          <w:sz w:val="20"/>
          <w:szCs w:val="20"/>
        </w:rPr>
        <w:t xml:space="preserve">  </w:t>
      </w:r>
      <w:r w:rsidR="00DE6A8E" w:rsidRPr="00F95F70">
        <w:rPr>
          <w:rFonts w:ascii="Arial" w:hAnsi="Arial" w:cs="Arial"/>
          <w:sz w:val="20"/>
          <w:szCs w:val="20"/>
        </w:rPr>
        <w:t xml:space="preserve">The Company will reassess </w:t>
      </w:r>
      <w:proofErr w:type="gramStart"/>
      <w:r w:rsidR="00DE6A8E" w:rsidRPr="00F95F70">
        <w:rPr>
          <w:rFonts w:ascii="Arial" w:hAnsi="Arial" w:cs="Arial"/>
          <w:sz w:val="20"/>
          <w:szCs w:val="20"/>
        </w:rPr>
        <w:t>the each</w:t>
      </w:r>
      <w:proofErr w:type="gramEnd"/>
      <w:r w:rsidR="00DE6A8E" w:rsidRPr="00F95F70">
        <w:rPr>
          <w:rFonts w:ascii="Arial" w:hAnsi="Arial" w:cs="Arial"/>
          <w:sz w:val="20"/>
          <w:szCs w:val="20"/>
        </w:rPr>
        <w:t xml:space="preserve"> reporting period the estimated term of the hosting arrangement over which deferred implementation costs are recognized.</w:t>
      </w:r>
    </w:p>
    <w:p w14:paraId="5406F5E9" w14:textId="77777777" w:rsidR="00DE6A8E" w:rsidRDefault="00DE6A8E" w:rsidP="00B5048D">
      <w:pPr>
        <w:pStyle w:val="ListParagraph"/>
        <w:spacing w:line="0" w:lineRule="atLeast"/>
        <w:ind w:left="360"/>
        <w:contextualSpacing/>
        <w:jc w:val="both"/>
        <w:rPr>
          <w:rFonts w:ascii="Arial" w:hAnsi="Arial" w:cs="Arial"/>
          <w:sz w:val="20"/>
          <w:szCs w:val="20"/>
        </w:rPr>
      </w:pPr>
    </w:p>
    <w:p w14:paraId="6464FCA6" w14:textId="2A49E665" w:rsidR="00301A8C" w:rsidRDefault="00301A8C" w:rsidP="00B5048D">
      <w:pPr>
        <w:pStyle w:val="ListParagraph"/>
        <w:spacing w:line="0" w:lineRule="atLeast"/>
        <w:ind w:left="360"/>
        <w:contextualSpacing/>
        <w:jc w:val="both"/>
        <w:rPr>
          <w:rFonts w:ascii="Arial" w:hAnsi="Arial" w:cs="Arial"/>
          <w:sz w:val="20"/>
          <w:szCs w:val="20"/>
        </w:rPr>
      </w:pPr>
      <w:r>
        <w:rPr>
          <w:rFonts w:ascii="Arial" w:hAnsi="Arial" w:cs="Arial"/>
          <w:sz w:val="20"/>
          <w:szCs w:val="20"/>
        </w:rPr>
        <w:t>For capitalized implementation costs related to cloud computing arrangements we will present them as follows in the Company’s financial statements:</w:t>
      </w:r>
    </w:p>
    <w:p w14:paraId="638F16C4" w14:textId="420D374A" w:rsidR="00301A8C" w:rsidRDefault="00301A8C" w:rsidP="00B5048D">
      <w:pPr>
        <w:pStyle w:val="ListParagraph"/>
        <w:numPr>
          <w:ilvl w:val="0"/>
          <w:numId w:val="54"/>
        </w:numPr>
        <w:spacing w:line="0" w:lineRule="atLeast"/>
        <w:contextualSpacing/>
        <w:jc w:val="both"/>
        <w:rPr>
          <w:rFonts w:ascii="Arial" w:hAnsi="Arial" w:cs="Arial"/>
          <w:sz w:val="20"/>
          <w:szCs w:val="20"/>
        </w:rPr>
      </w:pPr>
      <w:r w:rsidRPr="00F95F70">
        <w:rPr>
          <w:rFonts w:ascii="Arial" w:hAnsi="Arial" w:cs="Arial"/>
          <w:sz w:val="20"/>
          <w:szCs w:val="20"/>
          <w:u w:val="single"/>
        </w:rPr>
        <w:t>Income Statement</w:t>
      </w:r>
      <w:r>
        <w:rPr>
          <w:rFonts w:ascii="Arial" w:hAnsi="Arial" w:cs="Arial"/>
          <w:sz w:val="20"/>
          <w:szCs w:val="20"/>
        </w:rPr>
        <w:t>:  A</w:t>
      </w:r>
      <w:r w:rsidR="000D76E8">
        <w:rPr>
          <w:rFonts w:ascii="Arial" w:hAnsi="Arial" w:cs="Arial"/>
          <w:sz w:val="20"/>
          <w:szCs w:val="20"/>
        </w:rPr>
        <w:t xml:space="preserve">mortization </w:t>
      </w:r>
      <w:r w:rsidR="00087C5F" w:rsidRPr="00F95F70">
        <w:rPr>
          <w:rFonts w:ascii="Arial" w:hAnsi="Arial" w:cs="Arial"/>
          <w:sz w:val="20"/>
          <w:szCs w:val="20"/>
        </w:rPr>
        <w:t xml:space="preserve">expense </w:t>
      </w:r>
      <w:r>
        <w:rPr>
          <w:rFonts w:ascii="Arial" w:hAnsi="Arial" w:cs="Arial"/>
          <w:sz w:val="20"/>
          <w:szCs w:val="20"/>
        </w:rPr>
        <w:t xml:space="preserve">presented </w:t>
      </w:r>
      <w:r w:rsidR="000D0D68" w:rsidRPr="000D0D68">
        <w:rPr>
          <w:rFonts w:ascii="Arial" w:hAnsi="Arial" w:cs="Arial"/>
          <w:sz w:val="20"/>
          <w:szCs w:val="20"/>
        </w:rPr>
        <w:t xml:space="preserve">in the same line item </w:t>
      </w:r>
      <w:r w:rsidR="00087C5F" w:rsidRPr="00F95F70">
        <w:rPr>
          <w:rFonts w:ascii="Arial" w:hAnsi="Arial" w:cs="Arial"/>
          <w:sz w:val="20"/>
          <w:szCs w:val="20"/>
        </w:rPr>
        <w:t>as the fees associated w</w:t>
      </w:r>
      <w:r w:rsidR="00087C5F" w:rsidRPr="00087C5F">
        <w:rPr>
          <w:rFonts w:ascii="Arial" w:hAnsi="Arial" w:cs="Arial"/>
          <w:sz w:val="20"/>
          <w:szCs w:val="20"/>
        </w:rPr>
        <w:t>ith the hosting element of the ar</w:t>
      </w:r>
      <w:r w:rsidR="00087C5F" w:rsidRPr="00F95F70">
        <w:rPr>
          <w:rFonts w:ascii="Arial" w:hAnsi="Arial" w:cs="Arial"/>
          <w:sz w:val="20"/>
          <w:szCs w:val="20"/>
        </w:rPr>
        <w:t>rangement</w:t>
      </w:r>
      <w:r w:rsidR="00087C5F">
        <w:rPr>
          <w:rFonts w:ascii="Arial" w:hAnsi="Arial" w:cs="Arial"/>
          <w:sz w:val="20"/>
          <w:szCs w:val="20"/>
        </w:rPr>
        <w:t xml:space="preserve"> (SG</w:t>
      </w:r>
      <w:r w:rsidR="000D0D68">
        <w:rPr>
          <w:rFonts w:ascii="Arial" w:hAnsi="Arial" w:cs="Arial"/>
          <w:sz w:val="20"/>
          <w:szCs w:val="20"/>
        </w:rPr>
        <w:t>&amp;</w:t>
      </w:r>
      <w:r w:rsidR="00087C5F">
        <w:rPr>
          <w:rFonts w:ascii="Arial" w:hAnsi="Arial" w:cs="Arial"/>
          <w:sz w:val="20"/>
          <w:szCs w:val="20"/>
        </w:rPr>
        <w:t>A)</w:t>
      </w:r>
    </w:p>
    <w:p w14:paraId="7D253856" w14:textId="77777777" w:rsidR="00301A8C" w:rsidRDefault="00301A8C" w:rsidP="00B5048D">
      <w:pPr>
        <w:pStyle w:val="ListParagraph"/>
        <w:numPr>
          <w:ilvl w:val="0"/>
          <w:numId w:val="54"/>
        </w:numPr>
        <w:spacing w:line="0" w:lineRule="atLeast"/>
        <w:contextualSpacing/>
        <w:jc w:val="both"/>
        <w:rPr>
          <w:rFonts w:ascii="Arial" w:hAnsi="Arial" w:cs="Arial"/>
          <w:sz w:val="20"/>
          <w:szCs w:val="20"/>
        </w:rPr>
      </w:pPr>
      <w:r w:rsidRPr="00F95F70">
        <w:rPr>
          <w:rFonts w:ascii="Arial" w:hAnsi="Arial" w:cs="Arial"/>
          <w:sz w:val="20"/>
          <w:szCs w:val="20"/>
          <w:u w:val="single"/>
        </w:rPr>
        <w:t>Balance Sheet</w:t>
      </w:r>
      <w:proofErr w:type="gramStart"/>
      <w:r>
        <w:rPr>
          <w:rFonts w:ascii="Arial" w:hAnsi="Arial" w:cs="Arial"/>
          <w:sz w:val="20"/>
          <w:szCs w:val="20"/>
        </w:rPr>
        <w:t>:  C</w:t>
      </w:r>
      <w:r w:rsidR="00087C5F" w:rsidRPr="00F95F70">
        <w:rPr>
          <w:rFonts w:ascii="Arial" w:hAnsi="Arial" w:cs="Arial"/>
          <w:sz w:val="20"/>
          <w:szCs w:val="20"/>
        </w:rPr>
        <w:t>apitalized</w:t>
      </w:r>
      <w:proofErr w:type="gramEnd"/>
      <w:r w:rsidR="00087C5F" w:rsidRPr="00F95F70">
        <w:rPr>
          <w:rFonts w:ascii="Arial" w:hAnsi="Arial" w:cs="Arial"/>
          <w:sz w:val="20"/>
          <w:szCs w:val="20"/>
        </w:rPr>
        <w:t xml:space="preserve"> implementation costs in the same line item that a prepayment of the fees for the associated hosting</w:t>
      </w:r>
      <w:r w:rsidR="00087C5F" w:rsidRPr="00087C5F">
        <w:rPr>
          <w:rFonts w:ascii="Arial" w:hAnsi="Arial" w:cs="Arial"/>
          <w:sz w:val="20"/>
          <w:szCs w:val="20"/>
        </w:rPr>
        <w:t xml:space="preserve"> arrangement would be presented</w:t>
      </w:r>
      <w:r w:rsidR="001E4DCA">
        <w:rPr>
          <w:rFonts w:ascii="Arial" w:hAnsi="Arial" w:cs="Arial"/>
          <w:sz w:val="20"/>
          <w:szCs w:val="20"/>
        </w:rPr>
        <w:t xml:space="preserve"> (</w:t>
      </w:r>
      <w:r w:rsidR="000D76E8">
        <w:rPr>
          <w:rFonts w:ascii="Arial" w:hAnsi="Arial" w:cs="Arial"/>
          <w:sz w:val="20"/>
          <w:szCs w:val="20"/>
        </w:rPr>
        <w:t>Investments and Other A</w:t>
      </w:r>
      <w:r w:rsidR="001E4DCA">
        <w:rPr>
          <w:rFonts w:ascii="Arial" w:hAnsi="Arial" w:cs="Arial"/>
          <w:sz w:val="20"/>
          <w:szCs w:val="20"/>
        </w:rPr>
        <w:t xml:space="preserve">ssets). </w:t>
      </w:r>
    </w:p>
    <w:p w14:paraId="54CA3830" w14:textId="6C7BD6B6" w:rsidR="00087C5F" w:rsidRPr="00F95F70" w:rsidRDefault="009171ED" w:rsidP="00B5048D">
      <w:pPr>
        <w:pStyle w:val="ListParagraph"/>
        <w:numPr>
          <w:ilvl w:val="0"/>
          <w:numId w:val="54"/>
        </w:numPr>
        <w:spacing w:line="0" w:lineRule="atLeast"/>
        <w:contextualSpacing/>
        <w:jc w:val="both"/>
        <w:rPr>
          <w:rFonts w:ascii="Arial" w:hAnsi="Arial" w:cs="Arial"/>
          <w:sz w:val="20"/>
          <w:szCs w:val="20"/>
        </w:rPr>
      </w:pPr>
      <w:r w:rsidRPr="00F95F70">
        <w:rPr>
          <w:rFonts w:ascii="Arial" w:hAnsi="Arial" w:cs="Arial"/>
          <w:sz w:val="20"/>
          <w:szCs w:val="20"/>
          <w:u w:val="single"/>
        </w:rPr>
        <w:t>Statement of Cash Flows</w:t>
      </w:r>
      <w:proofErr w:type="gramStart"/>
      <w:r w:rsidR="00301A8C">
        <w:rPr>
          <w:rFonts w:ascii="Arial" w:hAnsi="Arial" w:cs="Arial"/>
          <w:sz w:val="20"/>
          <w:szCs w:val="20"/>
        </w:rPr>
        <w:t>:  C</w:t>
      </w:r>
      <w:r>
        <w:rPr>
          <w:rFonts w:ascii="Arial" w:hAnsi="Arial" w:cs="Arial"/>
          <w:sz w:val="20"/>
          <w:szCs w:val="20"/>
        </w:rPr>
        <w:t>lassify</w:t>
      </w:r>
      <w:proofErr w:type="gramEnd"/>
      <w:r>
        <w:rPr>
          <w:rFonts w:ascii="Arial" w:hAnsi="Arial" w:cs="Arial"/>
          <w:sz w:val="20"/>
          <w:szCs w:val="20"/>
        </w:rPr>
        <w:t xml:space="preserve"> payments for capitalized </w:t>
      </w:r>
      <w:r w:rsidR="00AB7CEE">
        <w:rPr>
          <w:rFonts w:ascii="Arial" w:hAnsi="Arial" w:cs="Arial"/>
          <w:sz w:val="20"/>
          <w:szCs w:val="20"/>
        </w:rPr>
        <w:t>implemen</w:t>
      </w:r>
      <w:r>
        <w:rPr>
          <w:rFonts w:ascii="Arial" w:hAnsi="Arial" w:cs="Arial"/>
          <w:sz w:val="20"/>
          <w:szCs w:val="20"/>
        </w:rPr>
        <w:t xml:space="preserve">tation costs consistent with payments made for fees associated with a hosting arrangement </w:t>
      </w:r>
      <w:r w:rsidR="000D76E8">
        <w:rPr>
          <w:rFonts w:ascii="Arial" w:hAnsi="Arial" w:cs="Arial"/>
          <w:sz w:val="20"/>
          <w:szCs w:val="20"/>
        </w:rPr>
        <w:t>(O</w:t>
      </w:r>
      <w:r>
        <w:rPr>
          <w:rFonts w:ascii="Arial" w:hAnsi="Arial" w:cs="Arial"/>
          <w:sz w:val="20"/>
          <w:szCs w:val="20"/>
        </w:rPr>
        <w:t xml:space="preserve">perating).  </w:t>
      </w:r>
    </w:p>
    <w:p w14:paraId="69551936" w14:textId="77777777" w:rsidR="00087C5F" w:rsidRDefault="00087C5F" w:rsidP="00B5048D">
      <w:pPr>
        <w:pStyle w:val="ListParagraph"/>
        <w:spacing w:line="0" w:lineRule="atLeast"/>
        <w:ind w:left="360"/>
        <w:contextualSpacing/>
        <w:jc w:val="both"/>
        <w:rPr>
          <w:rFonts w:ascii="Arial" w:hAnsi="Arial" w:cs="Arial"/>
          <w:sz w:val="20"/>
        </w:rPr>
      </w:pPr>
    </w:p>
    <w:p w14:paraId="4F8DAE19" w14:textId="696F2E6E" w:rsidR="00DF7DFD" w:rsidRPr="00DB4653" w:rsidRDefault="00F62BB8" w:rsidP="00B5048D">
      <w:pPr>
        <w:pStyle w:val="ListParagraph"/>
        <w:spacing w:line="0" w:lineRule="atLeast"/>
        <w:ind w:left="360"/>
        <w:contextualSpacing/>
        <w:jc w:val="both"/>
        <w:rPr>
          <w:rFonts w:ascii="Arial" w:hAnsi="Arial" w:cs="Arial"/>
          <w:sz w:val="20"/>
        </w:rPr>
      </w:pPr>
      <w:r w:rsidRPr="00DB4653">
        <w:rPr>
          <w:rFonts w:ascii="Arial" w:hAnsi="Arial" w:cs="Arial"/>
          <w:sz w:val="20"/>
        </w:rPr>
        <w:t xml:space="preserve">A SaaS contract that does not meet the above criteria, and therefore, does not qualify as a software license, the contract will be accounted for as a service contract and the fees should be </w:t>
      </w:r>
      <w:proofErr w:type="gramStart"/>
      <w:r w:rsidRPr="00DB4653">
        <w:rPr>
          <w:rFonts w:ascii="Arial" w:hAnsi="Arial" w:cs="Arial"/>
          <w:sz w:val="20"/>
        </w:rPr>
        <w:t>expensed</w:t>
      </w:r>
      <w:proofErr w:type="gramEnd"/>
      <w:r w:rsidRPr="00DB4653">
        <w:rPr>
          <w:rFonts w:ascii="Arial" w:hAnsi="Arial" w:cs="Arial"/>
          <w:sz w:val="20"/>
        </w:rPr>
        <w:t xml:space="preserve"> as the services are received. </w:t>
      </w:r>
    </w:p>
    <w:p w14:paraId="095CD42C" w14:textId="77777777" w:rsidR="00DF7DFD" w:rsidRDefault="00DF7DFD" w:rsidP="00B5048D">
      <w:pPr>
        <w:spacing w:line="0" w:lineRule="atLeast"/>
        <w:jc w:val="both"/>
        <w:rPr>
          <w:rFonts w:ascii="Arial" w:hAnsi="Arial" w:cs="Arial"/>
          <w:sz w:val="20"/>
        </w:rPr>
      </w:pPr>
    </w:p>
    <w:p w14:paraId="38F6C9DD" w14:textId="78DC0489" w:rsidR="0002478A" w:rsidRDefault="0002478A" w:rsidP="000D2565">
      <w:pPr>
        <w:pStyle w:val="ListParagraph"/>
        <w:spacing w:line="0" w:lineRule="atLeast"/>
        <w:ind w:left="360"/>
        <w:contextualSpacing/>
        <w:jc w:val="both"/>
        <w:rPr>
          <w:rFonts w:ascii="Century Gothic" w:hAnsi="Century Gothic" w:cs="Arial"/>
          <w:b/>
          <w:sz w:val="20"/>
        </w:rPr>
      </w:pPr>
      <w:bookmarkStart w:id="51" w:name="WebsiteDesign"/>
      <w:r>
        <w:rPr>
          <w:rFonts w:ascii="Century Gothic" w:hAnsi="Century Gothic" w:cs="Arial"/>
          <w:b/>
          <w:sz w:val="20"/>
        </w:rPr>
        <w:t xml:space="preserve">11.6 Website Development </w:t>
      </w:r>
      <w:r w:rsidR="0092230E">
        <w:rPr>
          <w:rFonts w:ascii="Century Gothic" w:hAnsi="Century Gothic" w:cs="Arial"/>
          <w:b/>
          <w:sz w:val="20"/>
        </w:rPr>
        <w:t>a</w:t>
      </w:r>
      <w:r>
        <w:rPr>
          <w:rFonts w:ascii="Century Gothic" w:hAnsi="Century Gothic" w:cs="Arial"/>
          <w:b/>
          <w:sz w:val="20"/>
        </w:rPr>
        <w:t>nd Content</w:t>
      </w:r>
      <w:r w:rsidR="00B73652">
        <w:rPr>
          <w:rFonts w:ascii="Century Gothic" w:hAnsi="Century Gothic" w:cs="Arial"/>
          <w:b/>
          <w:sz w:val="20"/>
        </w:rPr>
        <w:t xml:space="preserve"> Costs</w:t>
      </w:r>
      <w:r w:rsidR="00A52813">
        <w:rPr>
          <w:rFonts w:ascii="Century Gothic" w:hAnsi="Century Gothic" w:cs="Arial"/>
          <w:b/>
          <w:sz w:val="20"/>
        </w:rPr>
        <w:t xml:space="preserve"> </w:t>
      </w:r>
    </w:p>
    <w:bookmarkEnd w:id="51"/>
    <w:p w14:paraId="3AA56826" w14:textId="3AD8B86D" w:rsidR="00DC7CDB" w:rsidRDefault="00612E93" w:rsidP="00DC7CDB">
      <w:pPr>
        <w:pStyle w:val="ListParagraph"/>
        <w:spacing w:line="0" w:lineRule="atLeast"/>
        <w:ind w:left="360"/>
        <w:contextualSpacing/>
        <w:jc w:val="both"/>
        <w:rPr>
          <w:rFonts w:ascii="Arial" w:hAnsi="Arial" w:cs="Arial"/>
          <w:sz w:val="20"/>
        </w:rPr>
      </w:pPr>
      <w:r>
        <w:rPr>
          <w:rFonts w:ascii="Arial" w:hAnsi="Arial" w:cs="Arial"/>
          <w:sz w:val="20"/>
        </w:rPr>
        <w:t>Costs to develop a website are capitalized or expensed based on the</w:t>
      </w:r>
      <w:r w:rsidR="00313111">
        <w:rPr>
          <w:rFonts w:ascii="Arial" w:hAnsi="Arial" w:cs="Arial"/>
          <w:sz w:val="20"/>
        </w:rPr>
        <w:t xml:space="preserve"> purpose of the activity and the stage of </w:t>
      </w:r>
      <w:r w:rsidR="00B24A52">
        <w:rPr>
          <w:rFonts w:ascii="Arial" w:hAnsi="Arial" w:cs="Arial"/>
          <w:sz w:val="20"/>
        </w:rPr>
        <w:t xml:space="preserve">development of the </w:t>
      </w:r>
      <w:r w:rsidR="00313111">
        <w:rPr>
          <w:rFonts w:ascii="Arial" w:hAnsi="Arial" w:cs="Arial"/>
          <w:sz w:val="20"/>
        </w:rPr>
        <w:t>website.</w:t>
      </w:r>
      <w:r w:rsidR="00DC7CDB" w:rsidRPr="00DC7CDB">
        <w:rPr>
          <w:rFonts w:ascii="Arial" w:hAnsi="Arial" w:cs="Arial"/>
          <w:sz w:val="20"/>
        </w:rPr>
        <w:t xml:space="preserve"> </w:t>
      </w:r>
      <w:r w:rsidR="005A32FA">
        <w:rPr>
          <w:rFonts w:ascii="Arial" w:hAnsi="Arial" w:cs="Arial"/>
          <w:sz w:val="20"/>
        </w:rPr>
        <w:t xml:space="preserve">Website development </w:t>
      </w:r>
      <w:r w:rsidR="00516525">
        <w:rPr>
          <w:rFonts w:ascii="Arial" w:hAnsi="Arial" w:cs="Arial"/>
          <w:sz w:val="20"/>
        </w:rPr>
        <w:t xml:space="preserve">is </w:t>
      </w:r>
      <w:r w:rsidR="00DC7CDB" w:rsidRPr="00DC7CDB">
        <w:rPr>
          <w:rFonts w:ascii="Arial" w:hAnsi="Arial" w:cs="Arial"/>
          <w:sz w:val="20"/>
        </w:rPr>
        <w:t>categorized into</w:t>
      </w:r>
      <w:r w:rsidR="005A32FA">
        <w:rPr>
          <w:rFonts w:ascii="Arial" w:hAnsi="Arial" w:cs="Arial"/>
          <w:sz w:val="20"/>
        </w:rPr>
        <w:t xml:space="preserve"> the</w:t>
      </w:r>
      <w:r w:rsidR="00DC7CDB" w:rsidRPr="00DC7CDB">
        <w:rPr>
          <w:rFonts w:ascii="Arial" w:hAnsi="Arial" w:cs="Arial"/>
          <w:sz w:val="20"/>
        </w:rPr>
        <w:t xml:space="preserve"> </w:t>
      </w:r>
      <w:r w:rsidR="005A32FA">
        <w:rPr>
          <w:rFonts w:ascii="Arial" w:hAnsi="Arial" w:cs="Arial"/>
          <w:sz w:val="20"/>
        </w:rPr>
        <w:t>following five stages</w:t>
      </w:r>
      <w:r w:rsidR="00DC7CDB" w:rsidRPr="00DC7CDB">
        <w:rPr>
          <w:rFonts w:ascii="Arial" w:hAnsi="Arial" w:cs="Arial"/>
          <w:sz w:val="20"/>
        </w:rPr>
        <w:t>:</w:t>
      </w:r>
    </w:p>
    <w:p w14:paraId="4ACEEAC0" w14:textId="24A33FDB" w:rsidR="0002478A" w:rsidRDefault="0002478A" w:rsidP="000D2565">
      <w:pPr>
        <w:pStyle w:val="ListParagraph"/>
        <w:numPr>
          <w:ilvl w:val="0"/>
          <w:numId w:val="58"/>
        </w:numPr>
        <w:spacing w:line="0" w:lineRule="atLeast"/>
        <w:contextualSpacing/>
        <w:jc w:val="both"/>
        <w:rPr>
          <w:rFonts w:ascii="Arial" w:hAnsi="Arial" w:cs="Arial"/>
          <w:sz w:val="20"/>
        </w:rPr>
      </w:pPr>
      <w:r>
        <w:rPr>
          <w:rFonts w:ascii="Arial" w:hAnsi="Arial" w:cs="Arial"/>
          <w:sz w:val="20"/>
        </w:rPr>
        <w:t xml:space="preserve">Planning Stage </w:t>
      </w:r>
    </w:p>
    <w:p w14:paraId="3BAC7724" w14:textId="15D869B0" w:rsidR="0002478A" w:rsidRDefault="0002478A" w:rsidP="000D2565">
      <w:pPr>
        <w:pStyle w:val="ListParagraph"/>
        <w:numPr>
          <w:ilvl w:val="0"/>
          <w:numId w:val="58"/>
        </w:numPr>
        <w:spacing w:line="0" w:lineRule="atLeast"/>
        <w:contextualSpacing/>
        <w:jc w:val="both"/>
        <w:rPr>
          <w:rFonts w:ascii="Arial" w:hAnsi="Arial" w:cs="Arial"/>
          <w:sz w:val="20"/>
        </w:rPr>
      </w:pPr>
      <w:r>
        <w:rPr>
          <w:rFonts w:ascii="Arial" w:hAnsi="Arial" w:cs="Arial"/>
          <w:sz w:val="20"/>
        </w:rPr>
        <w:t xml:space="preserve">Application and Infrastructure Development Stage </w:t>
      </w:r>
    </w:p>
    <w:p w14:paraId="34D3A1C0" w14:textId="49BB4B89" w:rsidR="00A52813" w:rsidRDefault="00A52813" w:rsidP="000D2565">
      <w:pPr>
        <w:pStyle w:val="ListParagraph"/>
        <w:numPr>
          <w:ilvl w:val="0"/>
          <w:numId w:val="58"/>
        </w:numPr>
        <w:spacing w:line="0" w:lineRule="atLeast"/>
        <w:contextualSpacing/>
        <w:jc w:val="both"/>
        <w:rPr>
          <w:rFonts w:ascii="Arial" w:hAnsi="Arial" w:cs="Arial"/>
          <w:sz w:val="20"/>
        </w:rPr>
      </w:pPr>
      <w:r>
        <w:rPr>
          <w:rFonts w:ascii="Arial" w:hAnsi="Arial" w:cs="Arial"/>
          <w:sz w:val="20"/>
        </w:rPr>
        <w:t xml:space="preserve">Graphics Development Stage </w:t>
      </w:r>
    </w:p>
    <w:p w14:paraId="2921FAE9" w14:textId="7A1AEE8E" w:rsidR="00A52813" w:rsidRDefault="00A52813" w:rsidP="000D2565">
      <w:pPr>
        <w:pStyle w:val="ListParagraph"/>
        <w:numPr>
          <w:ilvl w:val="0"/>
          <w:numId w:val="58"/>
        </w:numPr>
        <w:spacing w:line="0" w:lineRule="atLeast"/>
        <w:contextualSpacing/>
        <w:jc w:val="both"/>
        <w:rPr>
          <w:rFonts w:ascii="Arial" w:hAnsi="Arial" w:cs="Arial"/>
          <w:sz w:val="20"/>
        </w:rPr>
      </w:pPr>
      <w:r>
        <w:rPr>
          <w:rFonts w:ascii="Arial" w:hAnsi="Arial" w:cs="Arial"/>
          <w:sz w:val="20"/>
        </w:rPr>
        <w:t xml:space="preserve">Content Development Stage </w:t>
      </w:r>
    </w:p>
    <w:p w14:paraId="32901008" w14:textId="5601F3B1" w:rsidR="00A52813" w:rsidRPr="005A32FA" w:rsidRDefault="00A52813" w:rsidP="00241A2B">
      <w:pPr>
        <w:pStyle w:val="ListParagraph"/>
        <w:numPr>
          <w:ilvl w:val="0"/>
          <w:numId w:val="58"/>
        </w:numPr>
        <w:spacing w:line="0" w:lineRule="atLeast"/>
        <w:contextualSpacing/>
        <w:jc w:val="both"/>
        <w:rPr>
          <w:rFonts w:ascii="Arial" w:hAnsi="Arial" w:cs="Arial"/>
          <w:sz w:val="20"/>
        </w:rPr>
      </w:pPr>
      <w:r w:rsidRPr="005A32FA">
        <w:rPr>
          <w:rFonts w:ascii="Arial" w:hAnsi="Arial" w:cs="Arial"/>
          <w:sz w:val="20"/>
        </w:rPr>
        <w:t xml:space="preserve">Operating Stage </w:t>
      </w:r>
    </w:p>
    <w:p w14:paraId="2C737EBB" w14:textId="77777777" w:rsidR="005A32FA" w:rsidRDefault="005A32FA" w:rsidP="000D2565">
      <w:pPr>
        <w:spacing w:line="0" w:lineRule="atLeast"/>
        <w:ind w:left="360"/>
        <w:contextualSpacing/>
        <w:jc w:val="both"/>
        <w:rPr>
          <w:rFonts w:ascii="Arial" w:hAnsi="Arial" w:cs="Arial"/>
          <w:sz w:val="20"/>
        </w:rPr>
      </w:pPr>
    </w:p>
    <w:p w14:paraId="60C323F9" w14:textId="4B6DF3CE" w:rsidR="00A52813" w:rsidRDefault="00A52813" w:rsidP="000D2565">
      <w:pPr>
        <w:spacing w:line="0" w:lineRule="atLeast"/>
        <w:ind w:left="360"/>
        <w:contextualSpacing/>
        <w:jc w:val="both"/>
        <w:rPr>
          <w:rFonts w:ascii="Arial" w:hAnsi="Arial" w:cs="Arial"/>
          <w:sz w:val="20"/>
        </w:rPr>
      </w:pPr>
      <w:r>
        <w:rPr>
          <w:rFonts w:ascii="Arial" w:hAnsi="Arial" w:cs="Arial"/>
          <w:sz w:val="20"/>
        </w:rPr>
        <w:t xml:space="preserve">Within each of these </w:t>
      </w:r>
      <w:r w:rsidR="005A32FA">
        <w:rPr>
          <w:rFonts w:ascii="Arial" w:hAnsi="Arial" w:cs="Arial"/>
          <w:sz w:val="20"/>
        </w:rPr>
        <w:t xml:space="preserve">stages are </w:t>
      </w:r>
      <w:proofErr w:type="gramStart"/>
      <w:r>
        <w:rPr>
          <w:rFonts w:ascii="Arial" w:hAnsi="Arial" w:cs="Arial"/>
          <w:sz w:val="20"/>
        </w:rPr>
        <w:t>a number of</w:t>
      </w:r>
      <w:proofErr w:type="gramEnd"/>
      <w:r>
        <w:rPr>
          <w:rFonts w:ascii="Arial" w:hAnsi="Arial" w:cs="Arial"/>
          <w:sz w:val="20"/>
        </w:rPr>
        <w:t xml:space="preserve"> sub-tasks that </w:t>
      </w:r>
      <w:r w:rsidR="00477942">
        <w:rPr>
          <w:rFonts w:ascii="Arial" w:hAnsi="Arial" w:cs="Arial"/>
          <w:sz w:val="20"/>
        </w:rPr>
        <w:t xml:space="preserve">are </w:t>
      </w:r>
      <w:r>
        <w:rPr>
          <w:rFonts w:ascii="Arial" w:hAnsi="Arial" w:cs="Arial"/>
          <w:sz w:val="20"/>
        </w:rPr>
        <w:t xml:space="preserve">outlined in the table </w:t>
      </w:r>
      <w:r w:rsidR="00B24A52">
        <w:rPr>
          <w:rFonts w:ascii="Arial" w:hAnsi="Arial" w:cs="Arial"/>
          <w:sz w:val="20"/>
        </w:rPr>
        <w:t xml:space="preserve">below </w:t>
      </w:r>
      <w:r>
        <w:rPr>
          <w:rFonts w:ascii="Arial" w:hAnsi="Arial" w:cs="Arial"/>
          <w:sz w:val="20"/>
        </w:rPr>
        <w:t xml:space="preserve">as to whether the costs should be capitalized or </w:t>
      </w:r>
      <w:proofErr w:type="gramStart"/>
      <w:r>
        <w:rPr>
          <w:rFonts w:ascii="Arial" w:hAnsi="Arial" w:cs="Arial"/>
          <w:sz w:val="20"/>
        </w:rPr>
        <w:t>expensed</w:t>
      </w:r>
      <w:proofErr w:type="gramEnd"/>
      <w:r w:rsidR="00B73652">
        <w:rPr>
          <w:rFonts w:ascii="Arial" w:hAnsi="Arial" w:cs="Arial"/>
          <w:sz w:val="20"/>
        </w:rPr>
        <w:t xml:space="preserve"> (list </w:t>
      </w:r>
      <w:r w:rsidR="00FD4438">
        <w:rPr>
          <w:rFonts w:ascii="Arial" w:hAnsi="Arial" w:cs="Arial"/>
          <w:sz w:val="20"/>
        </w:rPr>
        <w:t>not an all-inclusive list</w:t>
      </w:r>
      <w:r w:rsidR="00E37300">
        <w:rPr>
          <w:rFonts w:ascii="Arial" w:hAnsi="Arial" w:cs="Arial"/>
          <w:sz w:val="20"/>
        </w:rPr>
        <w:t>)</w:t>
      </w:r>
      <w:r w:rsidR="00B73652">
        <w:rPr>
          <w:rFonts w:ascii="Arial" w:hAnsi="Arial" w:cs="Arial"/>
          <w:sz w:val="20"/>
        </w:rPr>
        <w:t xml:space="preserve">. </w:t>
      </w:r>
      <w:r w:rsidR="00FD4438">
        <w:rPr>
          <w:rFonts w:ascii="Arial" w:hAnsi="Arial" w:cs="Arial"/>
          <w:sz w:val="20"/>
        </w:rPr>
        <w:t xml:space="preserve">Technical accounting should be consulted if questions. </w:t>
      </w:r>
    </w:p>
    <w:p w14:paraId="35D4DEEB" w14:textId="243BF494" w:rsidR="00E67F89" w:rsidRDefault="00E67F89">
      <w:pPr>
        <w:rPr>
          <w:rFonts w:ascii="Arial" w:hAnsi="Arial" w:cs="Arial"/>
          <w:sz w:val="20"/>
        </w:rPr>
      </w:pPr>
      <w:r>
        <w:rPr>
          <w:rFonts w:ascii="Arial" w:hAnsi="Arial" w:cs="Arial"/>
          <w:sz w:val="20"/>
        </w:rPr>
        <w:br w:type="page"/>
      </w:r>
    </w:p>
    <w:p w14:paraId="2B2291D5" w14:textId="77777777" w:rsidR="00E67F89" w:rsidRDefault="00E67F89" w:rsidP="000D2565">
      <w:pPr>
        <w:spacing w:line="0" w:lineRule="atLeast"/>
        <w:ind w:left="360"/>
        <w:contextualSpacing/>
        <w:jc w:val="both"/>
        <w:rPr>
          <w:rFonts w:ascii="Arial" w:hAnsi="Arial" w:cs="Arial"/>
          <w:sz w:val="20"/>
        </w:rPr>
      </w:pPr>
    </w:p>
    <w:p w14:paraId="018F2E1A" w14:textId="72814B74" w:rsidR="004268BA" w:rsidRDefault="004268BA" w:rsidP="000D2565">
      <w:pPr>
        <w:rPr>
          <w:rFonts w:ascii="Arial" w:hAnsi="Arial" w:cs="Arial"/>
          <w:sz w:val="20"/>
        </w:rPr>
      </w:pPr>
    </w:p>
    <w:tbl>
      <w:tblPr>
        <w:tblStyle w:val="GridTable4-Accent1"/>
        <w:tblW w:w="9085" w:type="dxa"/>
        <w:jc w:val="center"/>
        <w:tblLayout w:type="fixed"/>
        <w:tblLook w:val="04A0" w:firstRow="1" w:lastRow="0" w:firstColumn="1" w:lastColumn="0" w:noHBand="0" w:noVBand="1"/>
      </w:tblPr>
      <w:tblGrid>
        <w:gridCol w:w="1975"/>
        <w:gridCol w:w="5400"/>
        <w:gridCol w:w="1710"/>
      </w:tblGrid>
      <w:tr w:rsidR="00612E93" w:rsidRPr="00A52813" w14:paraId="0AA2FA72" w14:textId="77777777" w:rsidTr="009D7A9F">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1975" w:type="dxa"/>
          </w:tcPr>
          <w:p w14:paraId="37C10E3D" w14:textId="5BC07316" w:rsidR="00612E93" w:rsidRPr="00313111" w:rsidRDefault="00313111">
            <w:pPr>
              <w:widowControl w:val="0"/>
              <w:spacing w:before="183" w:line="258" w:lineRule="auto"/>
              <w:ind w:right="292"/>
              <w:rPr>
                <w:rFonts w:ascii="Arial" w:hAnsi="Arial" w:cs="Arial"/>
                <w:color w:val="auto"/>
                <w:spacing w:val="-1"/>
                <w:sz w:val="18"/>
                <w:szCs w:val="18"/>
              </w:rPr>
            </w:pPr>
            <w:r w:rsidRPr="00313111">
              <w:rPr>
                <w:rFonts w:ascii="Arial" w:hAnsi="Arial" w:cs="Arial"/>
                <w:color w:val="auto"/>
                <w:spacing w:val="-1"/>
                <w:sz w:val="18"/>
                <w:szCs w:val="18"/>
              </w:rPr>
              <w:t xml:space="preserve">Website Development </w:t>
            </w:r>
            <w:r w:rsidR="00612E93" w:rsidRPr="00313111">
              <w:rPr>
                <w:rFonts w:ascii="Arial" w:hAnsi="Arial" w:cs="Arial"/>
                <w:color w:val="auto"/>
                <w:spacing w:val="-1"/>
                <w:sz w:val="18"/>
                <w:szCs w:val="18"/>
              </w:rPr>
              <w:t>Stage</w:t>
            </w:r>
          </w:p>
        </w:tc>
        <w:tc>
          <w:tcPr>
            <w:tcW w:w="5400" w:type="dxa"/>
          </w:tcPr>
          <w:p w14:paraId="4CA1BC83" w14:textId="13C46228" w:rsidR="00612E93" w:rsidRPr="00313111" w:rsidRDefault="00612E93" w:rsidP="00612E93">
            <w:pPr>
              <w:widowControl w:val="0"/>
              <w:spacing w:before="183" w:line="258" w:lineRule="auto"/>
              <w:ind w:right="292"/>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pacing w:val="-1"/>
                <w:sz w:val="18"/>
                <w:szCs w:val="18"/>
              </w:rPr>
            </w:pPr>
            <w:r w:rsidRPr="00313111">
              <w:rPr>
                <w:rFonts w:ascii="Arial" w:hAnsi="Arial" w:cs="Arial"/>
                <w:color w:val="auto"/>
                <w:spacing w:val="-1"/>
                <w:sz w:val="18"/>
                <w:szCs w:val="18"/>
              </w:rPr>
              <w:t>Activities</w:t>
            </w:r>
          </w:p>
        </w:tc>
        <w:tc>
          <w:tcPr>
            <w:tcW w:w="1710" w:type="dxa"/>
          </w:tcPr>
          <w:p w14:paraId="044C1DE5" w14:textId="67A83D30" w:rsidR="00612E93" w:rsidRPr="00313111" w:rsidRDefault="00612E93" w:rsidP="00612E93">
            <w:pPr>
              <w:widowControl w:val="0"/>
              <w:spacing w:before="183" w:line="258" w:lineRule="auto"/>
              <w:ind w:right="292"/>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pacing w:val="-1"/>
                <w:sz w:val="18"/>
                <w:szCs w:val="18"/>
              </w:rPr>
            </w:pPr>
            <w:r w:rsidRPr="00313111">
              <w:rPr>
                <w:rFonts w:ascii="Arial" w:hAnsi="Arial" w:cs="Arial"/>
                <w:color w:val="auto"/>
                <w:spacing w:val="-1"/>
                <w:sz w:val="18"/>
                <w:szCs w:val="18"/>
              </w:rPr>
              <w:t>Accoun</w:t>
            </w:r>
            <w:r w:rsidR="00E92C24" w:rsidRPr="00313111">
              <w:rPr>
                <w:rFonts w:ascii="Arial" w:hAnsi="Arial" w:cs="Arial"/>
                <w:color w:val="auto"/>
                <w:spacing w:val="-1"/>
                <w:sz w:val="18"/>
                <w:szCs w:val="18"/>
              </w:rPr>
              <w:t>tin</w:t>
            </w:r>
            <w:r w:rsidRPr="00313111">
              <w:rPr>
                <w:rFonts w:ascii="Arial" w:hAnsi="Arial" w:cs="Arial"/>
                <w:color w:val="auto"/>
                <w:spacing w:val="-1"/>
                <w:sz w:val="18"/>
                <w:szCs w:val="18"/>
              </w:rPr>
              <w:t>g Treatment</w:t>
            </w:r>
          </w:p>
        </w:tc>
      </w:tr>
      <w:tr w:rsidR="00612E93" w:rsidRPr="00A52813" w14:paraId="1F1018A5" w14:textId="77777777" w:rsidTr="009D7A9F">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1975" w:type="dxa"/>
          </w:tcPr>
          <w:p w14:paraId="296E8F47" w14:textId="37677B77" w:rsidR="00612E93" w:rsidRPr="00E92C24" w:rsidRDefault="00E92C24" w:rsidP="00BC05D6">
            <w:pPr>
              <w:widowControl w:val="0"/>
              <w:spacing w:before="183" w:line="258" w:lineRule="auto"/>
              <w:ind w:right="292"/>
              <w:rPr>
                <w:rFonts w:ascii="Arial" w:hAnsi="Arial" w:cs="Arial"/>
                <w:spacing w:val="-1"/>
                <w:sz w:val="18"/>
                <w:szCs w:val="18"/>
              </w:rPr>
            </w:pPr>
            <w:r w:rsidRPr="00E92C24">
              <w:rPr>
                <w:rFonts w:ascii="Arial" w:hAnsi="Arial" w:cs="Arial"/>
                <w:spacing w:val="-1"/>
                <w:sz w:val="18"/>
                <w:szCs w:val="18"/>
              </w:rPr>
              <w:t>Planning</w:t>
            </w:r>
          </w:p>
        </w:tc>
        <w:tc>
          <w:tcPr>
            <w:tcW w:w="5400" w:type="dxa"/>
          </w:tcPr>
          <w:p w14:paraId="054D12F1" w14:textId="730E80B2" w:rsidR="00612E93" w:rsidRDefault="00E92C24" w:rsidP="00E92C24">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E92C24">
              <w:rPr>
                <w:rFonts w:ascii="Arial" w:eastAsia="Calibri" w:hAnsi="Arial" w:cs="Arial"/>
                <w:spacing w:val="-1"/>
                <w:sz w:val="18"/>
                <w:szCs w:val="18"/>
              </w:rPr>
              <w:t>Develop</w:t>
            </w:r>
            <w:r>
              <w:rPr>
                <w:rFonts w:ascii="Arial" w:eastAsia="Calibri" w:hAnsi="Arial" w:cs="Arial"/>
                <w:spacing w:val="-1"/>
                <w:sz w:val="18"/>
                <w:szCs w:val="18"/>
              </w:rPr>
              <w:t>ing</w:t>
            </w:r>
            <w:r w:rsidRPr="00E92C24">
              <w:rPr>
                <w:rFonts w:ascii="Arial" w:eastAsia="Calibri" w:hAnsi="Arial" w:cs="Arial"/>
                <w:spacing w:val="-1"/>
                <w:sz w:val="18"/>
                <w:szCs w:val="18"/>
              </w:rPr>
              <w:t xml:space="preserve"> the business/project plan</w:t>
            </w:r>
          </w:p>
          <w:p w14:paraId="6E617620" w14:textId="1FDC3055" w:rsidR="00E92C24" w:rsidRDefault="00E92C24" w:rsidP="00E92C24">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Determining functionalities</w:t>
            </w:r>
          </w:p>
          <w:p w14:paraId="4E67C3FF" w14:textId="22899733" w:rsidR="00E92C24" w:rsidRDefault="00E92C24" w:rsidP="00E92C24">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Identifying hardware (e.g., the server) and web applications/software</w:t>
            </w:r>
          </w:p>
          <w:p w14:paraId="0B9D2947" w14:textId="3B4C8CF6" w:rsidR="00E92C24" w:rsidRDefault="00E92C24" w:rsidP="00E92C24">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Conceptualizing and formatting graphics and content</w:t>
            </w:r>
          </w:p>
          <w:p w14:paraId="2127FF4A" w14:textId="7A0C28AE" w:rsidR="00E92C24" w:rsidRPr="00B5048D" w:rsidRDefault="00E92C24" w:rsidP="00E92C24">
            <w:pPr>
              <w:pStyle w:val="ListParagraph"/>
              <w:widowControl w:val="0"/>
              <w:numPr>
                <w:ilvl w:val="0"/>
                <w:numId w:val="64"/>
              </w:numPr>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eastAsia="Calibri" w:hAnsi="Arial" w:cs="Arial"/>
                <w:spacing w:val="-1"/>
                <w:sz w:val="18"/>
                <w:szCs w:val="18"/>
              </w:rPr>
              <w:t>Selecting vendors</w:t>
            </w:r>
          </w:p>
        </w:tc>
        <w:tc>
          <w:tcPr>
            <w:tcW w:w="1710" w:type="dxa"/>
          </w:tcPr>
          <w:p w14:paraId="117B628C" w14:textId="414B43EE" w:rsidR="00612E93" w:rsidRPr="00B5048D" w:rsidRDefault="00E92C24" w:rsidP="00354879">
            <w:pPr>
              <w:widowControl w:val="0"/>
              <w:spacing w:before="183"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612E93" w:rsidRPr="00A52813" w14:paraId="75CE8850" w14:textId="77777777" w:rsidTr="009D7A9F">
        <w:trPr>
          <w:jc w:val="center"/>
        </w:trPr>
        <w:tc>
          <w:tcPr>
            <w:cnfStyle w:val="001000000000" w:firstRow="0" w:lastRow="0" w:firstColumn="1" w:lastColumn="0" w:oddVBand="0" w:evenVBand="0" w:oddHBand="0" w:evenHBand="0" w:firstRowFirstColumn="0" w:firstRowLastColumn="0" w:lastRowFirstColumn="0" w:lastRowLastColumn="0"/>
            <w:tcW w:w="1975" w:type="dxa"/>
          </w:tcPr>
          <w:p w14:paraId="07E3B062" w14:textId="77777777" w:rsidR="00E92C24" w:rsidRDefault="00E92C24" w:rsidP="00E92C24">
            <w:pPr>
              <w:widowControl w:val="0"/>
              <w:spacing w:before="183" w:line="258" w:lineRule="auto"/>
              <w:ind w:right="292"/>
              <w:rPr>
                <w:rFonts w:ascii="Arial" w:eastAsia="Calibri" w:hAnsi="Arial" w:cs="Arial"/>
                <w:spacing w:val="-1"/>
                <w:sz w:val="18"/>
                <w:szCs w:val="18"/>
              </w:rPr>
            </w:pPr>
            <w:r w:rsidRPr="00B5048D">
              <w:rPr>
                <w:rFonts w:ascii="Arial" w:eastAsia="Calibri" w:hAnsi="Arial" w:cs="Arial"/>
                <w:spacing w:val="-1"/>
                <w:sz w:val="18"/>
                <w:szCs w:val="18"/>
              </w:rPr>
              <w:t xml:space="preserve">Application &amp; Infrastructure Development </w:t>
            </w:r>
          </w:p>
          <w:p w14:paraId="478E4796" w14:textId="676C3288" w:rsidR="00612E93" w:rsidRPr="00B5048D" w:rsidRDefault="00612E93" w:rsidP="00FD4438">
            <w:pPr>
              <w:widowControl w:val="0"/>
              <w:spacing w:before="183" w:line="258" w:lineRule="auto"/>
              <w:ind w:right="292"/>
              <w:rPr>
                <w:rFonts w:ascii="Arial" w:hAnsi="Arial" w:cs="Arial"/>
                <w:spacing w:val="-1"/>
                <w:sz w:val="18"/>
                <w:szCs w:val="18"/>
              </w:rPr>
            </w:pPr>
          </w:p>
        </w:tc>
        <w:tc>
          <w:tcPr>
            <w:tcW w:w="5400" w:type="dxa"/>
          </w:tcPr>
          <w:p w14:paraId="04191F1D" w14:textId="77777777" w:rsidR="00E92C24" w:rsidRDefault="00E92C24" w:rsidP="00E92C24">
            <w:pPr>
              <w:pStyle w:val="ListParagraph"/>
              <w:widowControl w:val="0"/>
              <w:numPr>
                <w:ilvl w:val="0"/>
                <w:numId w:val="65"/>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Acquiring or developing hardware and software needed to operate the website</w:t>
            </w:r>
          </w:p>
          <w:p w14:paraId="325E9851" w14:textId="77777777" w:rsidR="00E92C24" w:rsidRPr="006F51BF" w:rsidRDefault="00E92C24" w:rsidP="006F51BF">
            <w:pPr>
              <w:pStyle w:val="ListParagraph"/>
              <w:widowControl w:val="0"/>
              <w:numPr>
                <w:ilvl w:val="0"/>
                <w:numId w:val="65"/>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hAnsi="Arial" w:cs="Arial"/>
                <w:spacing w:val="-1"/>
                <w:sz w:val="18"/>
                <w:szCs w:val="18"/>
              </w:rPr>
              <w:t xml:space="preserve">Obtaining </w:t>
            </w:r>
            <w:r w:rsidR="006F51BF">
              <w:rPr>
                <w:rFonts w:ascii="Arial" w:hAnsi="Arial" w:cs="Arial"/>
                <w:spacing w:val="-1"/>
                <w:sz w:val="18"/>
                <w:szCs w:val="18"/>
              </w:rPr>
              <w:t xml:space="preserve">a </w:t>
            </w:r>
            <w:r>
              <w:rPr>
                <w:rFonts w:ascii="Arial" w:hAnsi="Arial" w:cs="Arial"/>
                <w:spacing w:val="-1"/>
                <w:sz w:val="18"/>
                <w:szCs w:val="18"/>
              </w:rPr>
              <w:t xml:space="preserve">domain name </w:t>
            </w:r>
            <w:r w:rsidR="006F51BF">
              <w:rPr>
                <w:rFonts w:ascii="Arial" w:hAnsi="Arial" w:cs="Arial"/>
                <w:spacing w:val="-1"/>
                <w:sz w:val="18"/>
                <w:szCs w:val="18"/>
              </w:rPr>
              <w:t>(</w:t>
            </w:r>
            <w:r w:rsidRPr="00E92C24">
              <w:rPr>
                <w:rFonts w:ascii="Arial" w:hAnsi="Arial" w:cs="Arial"/>
                <w:spacing w:val="-1"/>
                <w:sz w:val="18"/>
                <w:szCs w:val="18"/>
              </w:rPr>
              <w:t>registration fees</w:t>
            </w:r>
            <w:r w:rsidR="006F51BF">
              <w:rPr>
                <w:rFonts w:ascii="Arial" w:hAnsi="Arial" w:cs="Arial"/>
                <w:spacing w:val="-1"/>
                <w:sz w:val="18"/>
                <w:szCs w:val="18"/>
              </w:rPr>
              <w:t xml:space="preserve"> for a new domain name or purchasing one that has already been registered)</w:t>
            </w:r>
          </w:p>
          <w:p w14:paraId="6376F3C4" w14:textId="77777777" w:rsidR="006F51BF" w:rsidRPr="006F51BF" w:rsidRDefault="006F51BF" w:rsidP="006F51BF">
            <w:pPr>
              <w:pStyle w:val="ListParagraph"/>
              <w:widowControl w:val="0"/>
              <w:numPr>
                <w:ilvl w:val="0"/>
                <w:numId w:val="65"/>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hAnsi="Arial" w:cs="Arial"/>
                <w:spacing w:val="-1"/>
                <w:sz w:val="18"/>
                <w:szCs w:val="18"/>
              </w:rPr>
              <w:t>Developing or acquiring the software for website operations, database, and applications</w:t>
            </w:r>
          </w:p>
          <w:p w14:paraId="1D9ABD90" w14:textId="77777777" w:rsidR="006F51BF" w:rsidRPr="006F51BF" w:rsidRDefault="006F51BF" w:rsidP="006F51BF">
            <w:pPr>
              <w:pStyle w:val="ListParagraph"/>
              <w:widowControl w:val="0"/>
              <w:numPr>
                <w:ilvl w:val="0"/>
                <w:numId w:val="65"/>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hAnsi="Arial" w:cs="Arial"/>
                <w:spacing w:val="-1"/>
                <w:sz w:val="18"/>
                <w:szCs w:val="18"/>
              </w:rPr>
              <w:t>Purchasing the hardware</w:t>
            </w:r>
          </w:p>
          <w:p w14:paraId="50C11DBA" w14:textId="77777777" w:rsidR="006F51BF" w:rsidRPr="006F51BF" w:rsidRDefault="006F51BF" w:rsidP="006F51BF">
            <w:pPr>
              <w:pStyle w:val="ListParagraph"/>
              <w:widowControl w:val="0"/>
              <w:numPr>
                <w:ilvl w:val="0"/>
                <w:numId w:val="65"/>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hAnsi="Arial" w:cs="Arial"/>
                <w:spacing w:val="-1"/>
                <w:sz w:val="18"/>
                <w:szCs w:val="18"/>
              </w:rPr>
              <w:t>Installing the hardware/software</w:t>
            </w:r>
          </w:p>
          <w:p w14:paraId="4B09383B" w14:textId="5B44F9AB" w:rsidR="006F51BF" w:rsidRPr="00E92C24" w:rsidRDefault="006F51BF" w:rsidP="006F51BF">
            <w:pPr>
              <w:pStyle w:val="ListParagraph"/>
              <w:widowControl w:val="0"/>
              <w:numPr>
                <w:ilvl w:val="0"/>
                <w:numId w:val="65"/>
              </w:numPr>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Pr>
                <w:rFonts w:ascii="Arial" w:hAnsi="Arial" w:cs="Arial"/>
                <w:spacing w:val="-1"/>
                <w:sz w:val="18"/>
                <w:szCs w:val="18"/>
              </w:rPr>
              <w:t>Testing the hardware/software</w:t>
            </w:r>
          </w:p>
        </w:tc>
        <w:tc>
          <w:tcPr>
            <w:tcW w:w="1710" w:type="dxa"/>
          </w:tcPr>
          <w:p w14:paraId="385D1092" w14:textId="487DC47F" w:rsidR="00612E93" w:rsidRPr="00B5048D" w:rsidRDefault="00E92C24" w:rsidP="00354879">
            <w:pPr>
              <w:widowControl w:val="0"/>
              <w:spacing w:before="183" w:line="258" w:lineRule="auto"/>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r w:rsidR="006F51BF" w:rsidRPr="00A52813" w14:paraId="3F4D4266" w14:textId="77777777" w:rsidTr="009D7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tcPr>
          <w:p w14:paraId="44BE8ECA" w14:textId="284483B1" w:rsidR="006F51BF" w:rsidRPr="00B5048D" w:rsidRDefault="006F51BF" w:rsidP="006F51BF">
            <w:pPr>
              <w:widowControl w:val="0"/>
              <w:spacing w:before="183" w:line="258" w:lineRule="auto"/>
              <w:ind w:right="292"/>
              <w:rPr>
                <w:rFonts w:ascii="Arial" w:hAnsi="Arial" w:cs="Arial"/>
                <w:spacing w:val="-1"/>
                <w:sz w:val="18"/>
                <w:szCs w:val="18"/>
              </w:rPr>
            </w:pPr>
            <w:r>
              <w:rPr>
                <w:rFonts w:ascii="Arial" w:hAnsi="Arial" w:cs="Arial"/>
                <w:spacing w:val="-1"/>
                <w:sz w:val="18"/>
                <w:szCs w:val="18"/>
              </w:rPr>
              <w:t>Graphics Development</w:t>
            </w:r>
          </w:p>
        </w:tc>
        <w:tc>
          <w:tcPr>
            <w:tcW w:w="5400" w:type="dxa"/>
          </w:tcPr>
          <w:p w14:paraId="32B5AC3B" w14:textId="2DE74106" w:rsidR="006F51BF" w:rsidRPr="00B5048D" w:rsidRDefault="006F51BF" w:rsidP="006F51BF">
            <w:pPr>
              <w:widowControl w:val="0"/>
              <w:spacing w:before="183"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Pr>
                <w:rFonts w:ascii="Arial" w:hAnsi="Arial" w:cs="Arial"/>
                <w:spacing w:val="-1"/>
                <w:sz w:val="18"/>
                <w:szCs w:val="18"/>
              </w:rPr>
              <w:t>Overall design of web pages (design, layout, color, images)</w:t>
            </w:r>
          </w:p>
        </w:tc>
        <w:tc>
          <w:tcPr>
            <w:tcW w:w="1710" w:type="dxa"/>
          </w:tcPr>
          <w:p w14:paraId="5D78A530" w14:textId="320DEBB3" w:rsidR="006F51BF" w:rsidRPr="00B5048D" w:rsidRDefault="006F51BF" w:rsidP="006F51BF">
            <w:pPr>
              <w:widowControl w:val="0"/>
              <w:spacing w:before="183"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r w:rsidR="00313111" w:rsidRPr="00A52813" w14:paraId="690CD6D0" w14:textId="77777777" w:rsidTr="009D7A9F">
        <w:trPr>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Pr>
          <w:p w14:paraId="11F90837" w14:textId="75118CA0" w:rsidR="00313111" w:rsidRPr="00B5048D" w:rsidRDefault="00313111" w:rsidP="009D7A9F">
            <w:pPr>
              <w:widowControl w:val="0"/>
              <w:spacing w:line="258" w:lineRule="auto"/>
              <w:ind w:right="292"/>
              <w:rPr>
                <w:rFonts w:ascii="Arial" w:hAnsi="Arial" w:cs="Arial"/>
                <w:spacing w:val="-1"/>
                <w:sz w:val="18"/>
                <w:szCs w:val="18"/>
              </w:rPr>
            </w:pPr>
            <w:r w:rsidRPr="00B5048D">
              <w:rPr>
                <w:rFonts w:ascii="Arial" w:eastAsia="Calibri" w:hAnsi="Arial" w:cs="Arial"/>
                <w:spacing w:val="-1"/>
                <w:sz w:val="18"/>
                <w:szCs w:val="18"/>
              </w:rPr>
              <w:t>Content Development</w:t>
            </w:r>
          </w:p>
        </w:tc>
        <w:tc>
          <w:tcPr>
            <w:tcW w:w="5400" w:type="dxa"/>
          </w:tcPr>
          <w:p w14:paraId="6DB0D5AE" w14:textId="2A1B3423" w:rsidR="00313111" w:rsidRPr="009D7A9F" w:rsidRDefault="00313111" w:rsidP="009D7A9F">
            <w:pPr>
              <w:widowControl w:val="0"/>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Data entry and data conversion of content</w:t>
            </w:r>
          </w:p>
        </w:tc>
        <w:tc>
          <w:tcPr>
            <w:tcW w:w="1710" w:type="dxa"/>
          </w:tcPr>
          <w:p w14:paraId="19BCF28F" w14:textId="61FD8DB4" w:rsidR="00313111" w:rsidRPr="00B5048D" w:rsidRDefault="00313111" w:rsidP="009D7A9F">
            <w:pPr>
              <w:widowControl w:val="0"/>
              <w:spacing w:line="258" w:lineRule="auto"/>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313111" w:rsidRPr="00A52813" w14:paraId="11A8ACBD" w14:textId="77777777" w:rsidTr="009D7A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vMerge/>
          </w:tcPr>
          <w:p w14:paraId="2C99CA4C" w14:textId="64BA78BB" w:rsidR="00313111" w:rsidRPr="00B5048D" w:rsidRDefault="00313111" w:rsidP="009D7A9F">
            <w:pPr>
              <w:widowControl w:val="0"/>
              <w:spacing w:line="258" w:lineRule="auto"/>
              <w:ind w:right="292"/>
              <w:rPr>
                <w:rFonts w:ascii="Arial" w:hAnsi="Arial" w:cs="Arial"/>
                <w:spacing w:val="-1"/>
                <w:sz w:val="18"/>
                <w:szCs w:val="18"/>
              </w:rPr>
            </w:pPr>
          </w:p>
        </w:tc>
        <w:tc>
          <w:tcPr>
            <w:tcW w:w="5400" w:type="dxa"/>
          </w:tcPr>
          <w:p w14:paraId="5905C89F" w14:textId="3B7A465A" w:rsidR="00313111" w:rsidRPr="009D7A9F" w:rsidRDefault="00313111" w:rsidP="009D7A9F">
            <w:pPr>
              <w:widowControl w:val="0"/>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Software used to integrate a database with the website</w:t>
            </w:r>
          </w:p>
        </w:tc>
        <w:tc>
          <w:tcPr>
            <w:tcW w:w="1710" w:type="dxa"/>
          </w:tcPr>
          <w:p w14:paraId="22F28C32" w14:textId="2405EECE" w:rsidR="00313111" w:rsidRPr="00B5048D" w:rsidRDefault="00313111" w:rsidP="009D7A9F">
            <w:pPr>
              <w:widowControl w:val="0"/>
              <w:spacing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r w:rsidR="005A32FA" w:rsidRPr="00A52813" w14:paraId="2017F5D3" w14:textId="77777777" w:rsidTr="009D7A9F">
        <w:trPr>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Pr>
          <w:p w14:paraId="234E95E9" w14:textId="2EBF07D7" w:rsidR="005A32FA" w:rsidRPr="00B5048D" w:rsidRDefault="005A32FA" w:rsidP="009D7A9F">
            <w:pPr>
              <w:widowControl w:val="0"/>
              <w:spacing w:line="258" w:lineRule="auto"/>
              <w:ind w:right="292"/>
              <w:rPr>
                <w:rFonts w:ascii="Arial" w:eastAsia="Calibri" w:hAnsi="Arial" w:cs="Arial"/>
                <w:spacing w:val="-1"/>
                <w:sz w:val="18"/>
                <w:szCs w:val="18"/>
              </w:rPr>
            </w:pPr>
            <w:r w:rsidRPr="00B5048D">
              <w:rPr>
                <w:rFonts w:ascii="Arial" w:eastAsia="Calibri" w:hAnsi="Arial" w:cs="Arial"/>
                <w:spacing w:val="-1"/>
                <w:sz w:val="18"/>
                <w:szCs w:val="18"/>
              </w:rPr>
              <w:t>Operating</w:t>
            </w:r>
          </w:p>
        </w:tc>
        <w:tc>
          <w:tcPr>
            <w:tcW w:w="5400" w:type="dxa"/>
          </w:tcPr>
          <w:p w14:paraId="18D9D8C0" w14:textId="77FB01B1" w:rsidR="005A32FA" w:rsidRPr="00B5048D" w:rsidRDefault="005A32FA" w:rsidP="009D7A9F">
            <w:pPr>
              <w:widowControl w:val="0"/>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sidRPr="00B5048D">
              <w:rPr>
                <w:rFonts w:ascii="Arial" w:eastAsia="Calibri" w:hAnsi="Arial" w:cs="Arial"/>
                <w:spacing w:val="-1"/>
                <w:sz w:val="18"/>
                <w:szCs w:val="18"/>
              </w:rPr>
              <w:t>Costs to adminis</w:t>
            </w:r>
            <w:r>
              <w:rPr>
                <w:rFonts w:ascii="Arial" w:eastAsia="Calibri" w:hAnsi="Arial" w:cs="Arial"/>
                <w:spacing w:val="-1"/>
                <w:sz w:val="18"/>
                <w:szCs w:val="18"/>
              </w:rPr>
              <w:t>ter</w:t>
            </w:r>
            <w:r w:rsidRPr="00B5048D">
              <w:rPr>
                <w:rFonts w:ascii="Arial" w:eastAsia="Calibri" w:hAnsi="Arial" w:cs="Arial"/>
                <w:spacing w:val="-1"/>
                <w:sz w:val="18"/>
                <w:szCs w:val="18"/>
              </w:rPr>
              <w:t xml:space="preserve"> or operate the website or register with search engines</w:t>
            </w:r>
          </w:p>
        </w:tc>
        <w:tc>
          <w:tcPr>
            <w:tcW w:w="1710" w:type="dxa"/>
          </w:tcPr>
          <w:p w14:paraId="785CEDB3" w14:textId="0DDD20CC" w:rsidR="005A32FA" w:rsidRPr="00B5048D" w:rsidRDefault="005A32FA" w:rsidP="009D7A9F">
            <w:pPr>
              <w:widowControl w:val="0"/>
              <w:spacing w:line="258" w:lineRule="auto"/>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5A32FA" w:rsidRPr="00A52813" w14:paraId="05E261B6" w14:textId="77777777" w:rsidTr="009D7A9F">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75" w:type="dxa"/>
            <w:vMerge/>
          </w:tcPr>
          <w:p w14:paraId="0EF78AC2" w14:textId="4D2DDF6A" w:rsidR="005A32FA" w:rsidRPr="00B5048D" w:rsidRDefault="005A32FA" w:rsidP="009D7A9F">
            <w:pPr>
              <w:widowControl w:val="0"/>
              <w:spacing w:line="258" w:lineRule="auto"/>
              <w:ind w:right="292"/>
              <w:rPr>
                <w:rFonts w:ascii="Arial" w:hAnsi="Arial" w:cs="Arial"/>
                <w:spacing w:val="-1"/>
                <w:sz w:val="18"/>
                <w:szCs w:val="18"/>
              </w:rPr>
            </w:pPr>
          </w:p>
        </w:tc>
        <w:tc>
          <w:tcPr>
            <w:tcW w:w="5400" w:type="dxa"/>
          </w:tcPr>
          <w:p w14:paraId="4D538FBA" w14:textId="459BE4A4" w:rsidR="005A32FA" w:rsidRPr="00B5048D" w:rsidRDefault="005A32FA" w:rsidP="009D7A9F">
            <w:pPr>
              <w:widowControl w:val="0"/>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Upgrades or enhancements that add functionality to website</w:t>
            </w:r>
          </w:p>
        </w:tc>
        <w:tc>
          <w:tcPr>
            <w:tcW w:w="1710" w:type="dxa"/>
          </w:tcPr>
          <w:p w14:paraId="4992DB84" w14:textId="51170940" w:rsidR="005A32FA" w:rsidRPr="00B5048D" w:rsidRDefault="005A32FA" w:rsidP="009D7A9F">
            <w:pPr>
              <w:widowControl w:val="0"/>
              <w:spacing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r w:rsidR="005A32FA" w:rsidRPr="00A52813" w14:paraId="7498F9EC" w14:textId="77777777" w:rsidTr="009D7A9F">
        <w:trPr>
          <w:trHeight w:val="274"/>
          <w:jc w:val="center"/>
        </w:trPr>
        <w:tc>
          <w:tcPr>
            <w:cnfStyle w:val="001000000000" w:firstRow="0" w:lastRow="0" w:firstColumn="1" w:lastColumn="0" w:oddVBand="0" w:evenVBand="0" w:oddHBand="0" w:evenHBand="0" w:firstRowFirstColumn="0" w:firstRowLastColumn="0" w:lastRowFirstColumn="0" w:lastRowLastColumn="0"/>
            <w:tcW w:w="1975" w:type="dxa"/>
            <w:vMerge/>
          </w:tcPr>
          <w:p w14:paraId="62ADF411" w14:textId="77777777" w:rsidR="005A32FA" w:rsidRPr="00B5048D" w:rsidRDefault="005A32FA" w:rsidP="009D7A9F">
            <w:pPr>
              <w:widowControl w:val="0"/>
              <w:spacing w:line="258" w:lineRule="auto"/>
              <w:ind w:right="292"/>
              <w:rPr>
                <w:rFonts w:ascii="Arial" w:hAnsi="Arial" w:cs="Arial"/>
                <w:spacing w:val="-1"/>
                <w:sz w:val="18"/>
                <w:szCs w:val="18"/>
              </w:rPr>
            </w:pPr>
          </w:p>
        </w:tc>
        <w:tc>
          <w:tcPr>
            <w:tcW w:w="5400" w:type="dxa"/>
          </w:tcPr>
          <w:p w14:paraId="46790F8F" w14:textId="763F75C1" w:rsidR="005A32FA" w:rsidRPr="009D7A9F" w:rsidRDefault="005A32FA" w:rsidP="009D7A9F">
            <w:pPr>
              <w:widowControl w:val="0"/>
              <w:spacing w:line="258" w:lineRule="auto"/>
              <w:ind w:right="292"/>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Graphics modification – if maintenance activity</w:t>
            </w:r>
          </w:p>
        </w:tc>
        <w:tc>
          <w:tcPr>
            <w:tcW w:w="1710" w:type="dxa"/>
          </w:tcPr>
          <w:p w14:paraId="2D56C38E" w14:textId="36D08BC6" w:rsidR="005A32FA" w:rsidRPr="00B5048D" w:rsidRDefault="005A32FA" w:rsidP="009D7A9F">
            <w:pPr>
              <w:widowControl w:val="0"/>
              <w:spacing w:line="258" w:lineRule="auto"/>
              <w:ind w:right="292"/>
              <w:jc w:val="center"/>
              <w:cnfStyle w:val="000000000000" w:firstRow="0" w:lastRow="0" w:firstColumn="0" w:lastColumn="0" w:oddVBand="0" w:evenVBand="0" w:oddHBand="0"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Expense</w:t>
            </w:r>
          </w:p>
        </w:tc>
      </w:tr>
      <w:tr w:rsidR="005A32FA" w:rsidRPr="00A52813" w14:paraId="3583D25D" w14:textId="77777777" w:rsidTr="009D7A9F">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1975" w:type="dxa"/>
            <w:vMerge/>
          </w:tcPr>
          <w:p w14:paraId="2F8A2426" w14:textId="77777777" w:rsidR="005A32FA" w:rsidRPr="00B5048D" w:rsidRDefault="005A32FA" w:rsidP="009D7A9F">
            <w:pPr>
              <w:widowControl w:val="0"/>
              <w:spacing w:line="258" w:lineRule="auto"/>
              <w:ind w:right="292"/>
              <w:rPr>
                <w:rFonts w:ascii="Arial" w:hAnsi="Arial" w:cs="Arial"/>
                <w:spacing w:val="-1"/>
                <w:sz w:val="18"/>
                <w:szCs w:val="18"/>
              </w:rPr>
            </w:pPr>
          </w:p>
        </w:tc>
        <w:tc>
          <w:tcPr>
            <w:tcW w:w="5400" w:type="dxa"/>
          </w:tcPr>
          <w:p w14:paraId="61999CF2" w14:textId="2E08C003" w:rsidR="005A32FA" w:rsidRPr="009D7A9F" w:rsidRDefault="005A32FA" w:rsidP="009D7A9F">
            <w:pPr>
              <w:widowControl w:val="0"/>
              <w:spacing w:line="258" w:lineRule="auto"/>
              <w:ind w:right="292"/>
              <w:cnfStyle w:val="000000100000" w:firstRow="0" w:lastRow="0" w:firstColumn="0" w:lastColumn="0" w:oddVBand="0" w:evenVBand="0" w:oddHBand="1" w:evenHBand="0" w:firstRowFirstColumn="0" w:firstRowLastColumn="0" w:lastRowFirstColumn="0" w:lastRowLastColumn="0"/>
              <w:rPr>
                <w:rFonts w:ascii="Arial" w:eastAsia="Calibri" w:hAnsi="Arial" w:cs="Arial"/>
                <w:spacing w:val="-1"/>
                <w:sz w:val="18"/>
                <w:szCs w:val="18"/>
              </w:rPr>
            </w:pPr>
            <w:r w:rsidRPr="009D7A9F">
              <w:rPr>
                <w:rFonts w:ascii="Arial" w:eastAsia="Calibri" w:hAnsi="Arial" w:cs="Arial"/>
                <w:spacing w:val="-1"/>
                <w:sz w:val="18"/>
                <w:szCs w:val="18"/>
              </w:rPr>
              <w:t>Graphics modification – if enhancement</w:t>
            </w:r>
          </w:p>
        </w:tc>
        <w:tc>
          <w:tcPr>
            <w:tcW w:w="1710" w:type="dxa"/>
          </w:tcPr>
          <w:p w14:paraId="5D26D344" w14:textId="49DE987B" w:rsidR="005A32FA" w:rsidRDefault="005A32FA" w:rsidP="009D7A9F">
            <w:pPr>
              <w:widowControl w:val="0"/>
              <w:spacing w:line="258" w:lineRule="auto"/>
              <w:ind w:right="292"/>
              <w:jc w:val="center"/>
              <w:cnfStyle w:val="000000100000" w:firstRow="0" w:lastRow="0" w:firstColumn="0" w:lastColumn="0" w:oddVBand="0" w:evenVBand="0" w:oddHBand="1" w:evenHBand="0" w:firstRowFirstColumn="0" w:firstRowLastColumn="0" w:lastRowFirstColumn="0" w:lastRowLastColumn="0"/>
              <w:rPr>
                <w:rFonts w:ascii="Arial" w:hAnsi="Arial" w:cs="Arial"/>
                <w:spacing w:val="-1"/>
                <w:sz w:val="18"/>
                <w:szCs w:val="18"/>
              </w:rPr>
            </w:pPr>
            <w:r>
              <w:rPr>
                <w:rFonts w:ascii="Arial" w:hAnsi="Arial" w:cs="Arial"/>
                <w:spacing w:val="-1"/>
                <w:sz w:val="18"/>
                <w:szCs w:val="18"/>
              </w:rPr>
              <w:t>Capitalize</w:t>
            </w:r>
          </w:p>
        </w:tc>
      </w:tr>
    </w:tbl>
    <w:p w14:paraId="67ECFBEB" w14:textId="77777777" w:rsidR="00A52813" w:rsidRPr="00B5048D" w:rsidRDefault="00A52813" w:rsidP="00B5048D">
      <w:pPr>
        <w:spacing w:line="0" w:lineRule="atLeast"/>
        <w:ind w:left="360"/>
        <w:contextualSpacing/>
        <w:jc w:val="both"/>
        <w:rPr>
          <w:rFonts w:ascii="Arial" w:hAnsi="Arial" w:cs="Arial"/>
          <w:sz w:val="20"/>
        </w:rPr>
      </w:pPr>
    </w:p>
    <w:p w14:paraId="494447D1" w14:textId="5C14B90C" w:rsidR="00DF7DFD" w:rsidRDefault="00F62BB8" w:rsidP="00B5048D">
      <w:pPr>
        <w:pStyle w:val="ListParagraph"/>
        <w:spacing w:line="0" w:lineRule="atLeast"/>
        <w:ind w:left="360"/>
        <w:contextualSpacing/>
        <w:jc w:val="both"/>
        <w:rPr>
          <w:rFonts w:ascii="Century Gothic" w:hAnsi="Century Gothic" w:cs="Arial"/>
          <w:b/>
          <w:sz w:val="20"/>
        </w:rPr>
      </w:pPr>
      <w:r>
        <w:rPr>
          <w:rFonts w:ascii="Century Gothic" w:hAnsi="Century Gothic" w:cs="Arial"/>
          <w:b/>
          <w:sz w:val="20"/>
        </w:rPr>
        <w:t>11.</w:t>
      </w:r>
      <w:r w:rsidR="0002478A">
        <w:rPr>
          <w:rFonts w:ascii="Century Gothic" w:hAnsi="Century Gothic" w:cs="Arial"/>
          <w:b/>
          <w:sz w:val="20"/>
        </w:rPr>
        <w:t>7</w:t>
      </w:r>
      <w:r>
        <w:rPr>
          <w:rFonts w:ascii="Century Gothic" w:hAnsi="Century Gothic" w:cs="Arial"/>
          <w:b/>
          <w:sz w:val="20"/>
        </w:rPr>
        <w:t xml:space="preserve"> </w:t>
      </w:r>
      <w:bookmarkStart w:id="52" w:name="DisposalSale"/>
      <w:r>
        <w:rPr>
          <w:rFonts w:ascii="Century Gothic" w:hAnsi="Century Gothic" w:cs="Arial"/>
          <w:b/>
          <w:sz w:val="20"/>
        </w:rPr>
        <w:t>Disposals and Sales</w:t>
      </w:r>
    </w:p>
    <w:bookmarkEnd w:id="52"/>
    <w:p w14:paraId="5B8400BB" w14:textId="74554B55"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When taken out of use permanently due to retirement or sale, the net book value of a fixed asset should be expensed by writing off original cost and accumulated depreciation.  If an asset is sold and cash is received, a gain or loss on the sale should be calculated and recognized.  Otherwise, any net difference should be recorded as depreciation.  </w:t>
      </w:r>
      <w:r w:rsidRPr="00B20221">
        <w:rPr>
          <w:rFonts w:ascii="Arial" w:hAnsi="Arial" w:cs="Arial"/>
          <w:sz w:val="20"/>
        </w:rPr>
        <w:t xml:space="preserve">Any disposals with a net book value of $50,000 or more require approval by the </w:t>
      </w:r>
      <w:r w:rsidR="007B2641">
        <w:rPr>
          <w:rFonts w:ascii="Arial" w:hAnsi="Arial" w:cs="Arial"/>
          <w:sz w:val="20"/>
        </w:rPr>
        <w:t>CAO</w:t>
      </w:r>
      <w:r w:rsidRPr="00B20221">
        <w:rPr>
          <w:rFonts w:ascii="Arial" w:hAnsi="Arial" w:cs="Arial"/>
          <w:sz w:val="20"/>
        </w:rPr>
        <w:t>.</w:t>
      </w:r>
    </w:p>
    <w:p w14:paraId="721CDDAC" w14:textId="77777777" w:rsidR="00DF7DFD" w:rsidRDefault="00DF7DFD" w:rsidP="00B5048D">
      <w:pPr>
        <w:pStyle w:val="ListParagraph"/>
        <w:spacing w:line="0" w:lineRule="atLeast"/>
        <w:ind w:left="360"/>
        <w:contextualSpacing/>
        <w:jc w:val="both"/>
        <w:rPr>
          <w:rFonts w:ascii="Arial" w:hAnsi="Arial" w:cs="Arial"/>
          <w:b/>
          <w:sz w:val="20"/>
        </w:rPr>
      </w:pPr>
    </w:p>
    <w:p w14:paraId="58710439" w14:textId="263A67D2" w:rsidR="00DF7DFD" w:rsidRDefault="00F62BB8" w:rsidP="00B5048D">
      <w:pPr>
        <w:pStyle w:val="ListParagraph"/>
        <w:spacing w:line="0" w:lineRule="atLeast"/>
        <w:ind w:left="360"/>
        <w:contextualSpacing/>
        <w:jc w:val="both"/>
        <w:rPr>
          <w:rFonts w:ascii="Century Gothic" w:hAnsi="Century Gothic" w:cs="Arial"/>
          <w:b/>
          <w:sz w:val="20"/>
        </w:rPr>
      </w:pPr>
      <w:r>
        <w:rPr>
          <w:rFonts w:ascii="Century Gothic" w:hAnsi="Century Gothic" w:cs="Arial"/>
          <w:b/>
          <w:sz w:val="20"/>
        </w:rPr>
        <w:t>11.</w:t>
      </w:r>
      <w:r w:rsidR="0002478A">
        <w:rPr>
          <w:rFonts w:ascii="Century Gothic" w:hAnsi="Century Gothic" w:cs="Arial"/>
          <w:b/>
          <w:sz w:val="20"/>
        </w:rPr>
        <w:t>8</w:t>
      </w:r>
      <w:r>
        <w:rPr>
          <w:rFonts w:ascii="Century Gothic" w:hAnsi="Century Gothic" w:cs="Arial"/>
          <w:b/>
          <w:sz w:val="20"/>
        </w:rPr>
        <w:t xml:space="preserve"> </w:t>
      </w:r>
      <w:bookmarkStart w:id="53" w:name="FATransfer"/>
      <w:r>
        <w:rPr>
          <w:rFonts w:ascii="Century Gothic" w:hAnsi="Century Gothic" w:cs="Arial"/>
          <w:b/>
          <w:sz w:val="20"/>
        </w:rPr>
        <w:t>Transfer of Assets</w:t>
      </w:r>
      <w:bookmarkEnd w:id="53"/>
    </w:p>
    <w:p w14:paraId="02BBD88D" w14:textId="77777777" w:rsidR="00DF7DFD" w:rsidRDefault="00F62BB8" w:rsidP="00B5048D">
      <w:pPr>
        <w:pStyle w:val="ListParagraph"/>
        <w:spacing w:line="0" w:lineRule="atLeast"/>
        <w:ind w:left="360"/>
        <w:contextualSpacing/>
        <w:jc w:val="both"/>
        <w:rPr>
          <w:rFonts w:ascii="Arial" w:hAnsi="Arial" w:cs="Arial"/>
          <w:b/>
          <w:sz w:val="20"/>
        </w:rPr>
      </w:pPr>
      <w:r>
        <w:rPr>
          <w:rFonts w:ascii="Arial" w:hAnsi="Arial" w:cs="Arial"/>
          <w:sz w:val="20"/>
        </w:rPr>
        <w:t xml:space="preserve">Intracompany transfers shall be made at </w:t>
      </w:r>
      <w:proofErr w:type="gramStart"/>
      <w:r>
        <w:rPr>
          <w:rFonts w:ascii="Arial" w:hAnsi="Arial" w:cs="Arial"/>
          <w:sz w:val="20"/>
        </w:rPr>
        <w:t>net book</w:t>
      </w:r>
      <w:proofErr w:type="gramEnd"/>
      <w:r>
        <w:rPr>
          <w:rFonts w:ascii="Arial" w:hAnsi="Arial" w:cs="Arial"/>
          <w:sz w:val="20"/>
        </w:rPr>
        <w:t xml:space="preserve"> value, with depreciation provided up to the date of transfer.  Cost and accumulated depreciation shall be eliminated by the transferor and assumed by the transferee with the transferee depreciating thereafter on original cost.  Costs of uplifting, removal, overhauling and reconditioning should be expensed by the transferee.  Reinstallation costs may be capitalized if they are significant to the </w:t>
      </w:r>
      <w:proofErr w:type="gramStart"/>
      <w:r>
        <w:rPr>
          <w:rFonts w:ascii="Arial" w:hAnsi="Arial" w:cs="Arial"/>
          <w:sz w:val="20"/>
        </w:rPr>
        <w:t>net book</w:t>
      </w:r>
      <w:proofErr w:type="gramEnd"/>
      <w:r>
        <w:rPr>
          <w:rFonts w:ascii="Arial" w:hAnsi="Arial" w:cs="Arial"/>
          <w:sz w:val="20"/>
        </w:rPr>
        <w:t xml:space="preserve"> value of the transfer provided the original installation cost is written off.</w:t>
      </w:r>
    </w:p>
    <w:p w14:paraId="7B6F4487" w14:textId="77777777" w:rsidR="00DF7DFD" w:rsidRDefault="00DF7DFD" w:rsidP="00B5048D">
      <w:pPr>
        <w:pStyle w:val="ListParagraph"/>
        <w:spacing w:line="0" w:lineRule="atLeast"/>
        <w:ind w:left="360"/>
        <w:contextualSpacing/>
        <w:jc w:val="both"/>
        <w:rPr>
          <w:rFonts w:ascii="Arial" w:hAnsi="Arial" w:cs="Arial"/>
          <w:b/>
          <w:sz w:val="20"/>
        </w:rPr>
      </w:pPr>
    </w:p>
    <w:p w14:paraId="76A4EECC" w14:textId="29ADA4EE" w:rsidR="00DF7DFD" w:rsidRPr="004A3BEB" w:rsidRDefault="00F62BB8" w:rsidP="00B5048D">
      <w:pPr>
        <w:pStyle w:val="ListParagraph"/>
        <w:spacing w:line="0" w:lineRule="atLeast"/>
        <w:ind w:left="360"/>
        <w:contextualSpacing/>
        <w:jc w:val="both"/>
        <w:rPr>
          <w:rFonts w:ascii="Century Gothic" w:hAnsi="Century Gothic" w:cs="Arial"/>
          <w:b/>
          <w:sz w:val="20"/>
        </w:rPr>
      </w:pPr>
      <w:r w:rsidRPr="004A3BEB">
        <w:rPr>
          <w:rFonts w:ascii="Century Gothic" w:hAnsi="Century Gothic" w:cs="Arial"/>
          <w:b/>
          <w:sz w:val="20"/>
        </w:rPr>
        <w:t>11.</w:t>
      </w:r>
      <w:r w:rsidR="0002478A">
        <w:rPr>
          <w:rFonts w:ascii="Century Gothic" w:hAnsi="Century Gothic" w:cs="Arial"/>
          <w:b/>
          <w:sz w:val="20"/>
        </w:rPr>
        <w:t>9</w:t>
      </w:r>
      <w:r w:rsidRPr="004A3BEB">
        <w:rPr>
          <w:rFonts w:ascii="Century Gothic" w:hAnsi="Century Gothic" w:cs="Arial"/>
          <w:b/>
          <w:sz w:val="20"/>
        </w:rPr>
        <w:t xml:space="preserve"> </w:t>
      </w:r>
      <w:bookmarkStart w:id="54" w:name="FinPhyCtrl"/>
      <w:r w:rsidRPr="004A3BEB">
        <w:rPr>
          <w:rFonts w:ascii="Century Gothic" w:hAnsi="Century Gothic" w:cs="Arial"/>
          <w:b/>
          <w:sz w:val="20"/>
        </w:rPr>
        <w:t>Financial and Physical Control</w:t>
      </w:r>
      <w:bookmarkEnd w:id="54"/>
    </w:p>
    <w:p w14:paraId="6E34504D" w14:textId="77777777" w:rsidR="00D43D29" w:rsidRDefault="00F62BB8" w:rsidP="00D43D29">
      <w:pPr>
        <w:pStyle w:val="ListParagraph"/>
        <w:spacing w:line="0" w:lineRule="atLeast"/>
        <w:ind w:left="360"/>
        <w:contextualSpacing/>
        <w:jc w:val="both"/>
        <w:rPr>
          <w:rFonts w:ascii="Arial" w:hAnsi="Arial" w:cs="Arial"/>
          <w:sz w:val="20"/>
        </w:rPr>
      </w:pPr>
      <w:r w:rsidRPr="004A3BEB">
        <w:rPr>
          <w:rFonts w:ascii="Arial" w:hAnsi="Arial" w:cs="Arial"/>
          <w:sz w:val="20"/>
        </w:rPr>
        <w:t>On an annual basis (or more frequent basis as needed), Accounting will furnish each department with a report showing a listing of the assets assigned to that department.  Any discrepancies noted by the department should be communicated as soon as possible. Shrinkage will be written off to the appropriate account and after management approval. See also Disposals and Sales section.</w:t>
      </w:r>
      <w:r>
        <w:rPr>
          <w:rFonts w:ascii="Arial" w:hAnsi="Arial" w:cs="Arial"/>
          <w:sz w:val="20"/>
        </w:rPr>
        <w:t xml:space="preserve">  </w:t>
      </w:r>
      <w:bookmarkStart w:id="55" w:name="_Toc217460904"/>
      <w:bookmarkStart w:id="56" w:name="_Toc308509445"/>
    </w:p>
    <w:p w14:paraId="434CBE5E" w14:textId="77777777" w:rsidR="006C1E12" w:rsidRDefault="006C1E12" w:rsidP="00D43D29">
      <w:pPr>
        <w:pStyle w:val="ListParagraph"/>
        <w:spacing w:line="0" w:lineRule="atLeast"/>
        <w:ind w:left="360"/>
        <w:contextualSpacing/>
        <w:jc w:val="both"/>
        <w:rPr>
          <w:rFonts w:ascii="Arial" w:hAnsi="Arial" w:cs="Arial"/>
          <w:sz w:val="20"/>
        </w:rPr>
      </w:pPr>
    </w:p>
    <w:p w14:paraId="53B8ECE8" w14:textId="7F3C9CAB" w:rsidR="006C1E12" w:rsidRDefault="006C1E12" w:rsidP="006C1E12">
      <w:pPr>
        <w:pStyle w:val="ListParagraph"/>
        <w:spacing w:line="0" w:lineRule="atLeast"/>
        <w:ind w:left="360"/>
        <w:contextualSpacing/>
        <w:jc w:val="both"/>
        <w:rPr>
          <w:rFonts w:ascii="Century Gothic" w:hAnsi="Century Gothic" w:cs="Arial"/>
          <w:b/>
          <w:sz w:val="20"/>
        </w:rPr>
      </w:pPr>
      <w:r w:rsidRPr="004A3BEB">
        <w:rPr>
          <w:rFonts w:ascii="Century Gothic" w:hAnsi="Century Gothic" w:cs="Arial"/>
          <w:b/>
          <w:sz w:val="20"/>
        </w:rPr>
        <w:t>11.</w:t>
      </w:r>
      <w:r>
        <w:rPr>
          <w:rFonts w:ascii="Century Gothic" w:hAnsi="Century Gothic" w:cs="Arial"/>
          <w:b/>
          <w:sz w:val="20"/>
        </w:rPr>
        <w:t>10</w:t>
      </w:r>
      <w:r w:rsidRPr="004A3BEB">
        <w:rPr>
          <w:rFonts w:ascii="Century Gothic" w:hAnsi="Century Gothic" w:cs="Arial"/>
          <w:b/>
          <w:sz w:val="20"/>
        </w:rPr>
        <w:t xml:space="preserve"> </w:t>
      </w:r>
      <w:r>
        <w:rPr>
          <w:rFonts w:ascii="Century Gothic" w:hAnsi="Century Gothic" w:cs="Arial"/>
          <w:b/>
          <w:sz w:val="20"/>
        </w:rPr>
        <w:t xml:space="preserve">Impairment </w:t>
      </w:r>
      <w:r w:rsidR="00D06E44">
        <w:rPr>
          <w:rFonts w:ascii="Century Gothic" w:hAnsi="Century Gothic" w:cs="Arial"/>
          <w:b/>
          <w:sz w:val="20"/>
        </w:rPr>
        <w:t>of long-lived assets held and used</w:t>
      </w:r>
    </w:p>
    <w:p w14:paraId="3F7B8703" w14:textId="6E18FB4D" w:rsidR="006C1E12" w:rsidRPr="009D7A9F" w:rsidRDefault="006C1E12" w:rsidP="006C1E12">
      <w:pPr>
        <w:pStyle w:val="ListParagraph"/>
        <w:spacing w:line="0" w:lineRule="atLeast"/>
        <w:ind w:left="360"/>
        <w:contextualSpacing/>
        <w:jc w:val="both"/>
        <w:rPr>
          <w:rFonts w:ascii="Arial" w:hAnsi="Arial" w:cs="Arial"/>
          <w:sz w:val="20"/>
        </w:rPr>
      </w:pPr>
      <w:r w:rsidRPr="009D7A9F">
        <w:rPr>
          <w:rFonts w:ascii="Arial" w:hAnsi="Arial" w:cs="Arial"/>
          <w:sz w:val="20"/>
        </w:rPr>
        <w:t>Unlike goodwill and indefinite-lived intangible assets, which are required to be tested for impairment annually, impairment testing for long-lived assets held and used (</w:t>
      </w:r>
      <w:r w:rsidR="005F2DC3">
        <w:rPr>
          <w:rFonts w:ascii="Arial" w:hAnsi="Arial" w:cs="Arial"/>
          <w:sz w:val="20"/>
        </w:rPr>
        <w:t xml:space="preserve">that is, </w:t>
      </w:r>
      <w:r w:rsidRPr="009D7A9F">
        <w:rPr>
          <w:rFonts w:ascii="Arial" w:hAnsi="Arial" w:cs="Arial"/>
          <w:sz w:val="20"/>
        </w:rPr>
        <w:t xml:space="preserve">fixed assets, </w:t>
      </w:r>
      <w:r w:rsidR="00672C26" w:rsidRPr="009D7A9F">
        <w:rPr>
          <w:rFonts w:ascii="Arial" w:hAnsi="Arial" w:cs="Arial"/>
          <w:sz w:val="20"/>
        </w:rPr>
        <w:t xml:space="preserve">leases capitalized under ASC 842, and </w:t>
      </w:r>
      <w:r w:rsidRPr="009D7A9F">
        <w:rPr>
          <w:rFonts w:ascii="Arial" w:hAnsi="Arial" w:cs="Arial"/>
          <w:sz w:val="20"/>
        </w:rPr>
        <w:t>other intangible assets)</w:t>
      </w:r>
      <w:r w:rsidR="00672C26" w:rsidRPr="009D7A9F">
        <w:rPr>
          <w:rFonts w:ascii="Arial" w:hAnsi="Arial" w:cs="Arial"/>
          <w:sz w:val="20"/>
        </w:rPr>
        <w:t xml:space="preserve"> are not required to be tested annually. Instead, a long-lived asset (asset group) that is held and used should be tested for recoverability </w:t>
      </w:r>
      <w:r w:rsidRPr="009D7A9F">
        <w:rPr>
          <w:rFonts w:ascii="Arial" w:hAnsi="Arial" w:cs="Arial"/>
          <w:sz w:val="20"/>
        </w:rPr>
        <w:t xml:space="preserve">when events occur that indicate </w:t>
      </w:r>
      <w:r w:rsidR="00672C26" w:rsidRPr="009D7A9F">
        <w:rPr>
          <w:rFonts w:ascii="Arial" w:hAnsi="Arial" w:cs="Arial"/>
          <w:sz w:val="20"/>
        </w:rPr>
        <w:t xml:space="preserve">that the carrying amount of the </w:t>
      </w:r>
      <w:r w:rsidRPr="009D7A9F">
        <w:rPr>
          <w:rFonts w:ascii="Arial" w:hAnsi="Arial" w:cs="Arial"/>
          <w:sz w:val="20"/>
        </w:rPr>
        <w:t>asset group</w:t>
      </w:r>
      <w:r w:rsidR="00672C26" w:rsidRPr="009D7A9F">
        <w:rPr>
          <w:rFonts w:ascii="Arial" w:hAnsi="Arial" w:cs="Arial"/>
          <w:sz w:val="20"/>
        </w:rPr>
        <w:t xml:space="preserve"> </w:t>
      </w:r>
      <w:r w:rsidRPr="009D7A9F">
        <w:rPr>
          <w:rFonts w:ascii="Arial" w:hAnsi="Arial" w:cs="Arial"/>
          <w:sz w:val="20"/>
        </w:rPr>
        <w:t xml:space="preserve">may not be recoverable.  </w:t>
      </w:r>
      <w:r w:rsidR="00672C26">
        <w:rPr>
          <w:rFonts w:ascii="Arial" w:hAnsi="Arial" w:cs="Arial"/>
          <w:sz w:val="20"/>
        </w:rPr>
        <w:t>Impairment indicators (</w:t>
      </w:r>
      <w:r w:rsidR="00672C26" w:rsidRPr="009D7A9F">
        <w:rPr>
          <w:rFonts w:ascii="Arial" w:hAnsi="Arial" w:cs="Arial"/>
          <w:sz w:val="20"/>
        </w:rPr>
        <w:t>triggering events</w:t>
      </w:r>
      <w:r w:rsidR="00672C26">
        <w:rPr>
          <w:rFonts w:ascii="Arial" w:hAnsi="Arial" w:cs="Arial"/>
          <w:sz w:val="20"/>
        </w:rPr>
        <w:t>)</w:t>
      </w:r>
      <w:r w:rsidR="00672C26" w:rsidRPr="009D7A9F">
        <w:rPr>
          <w:rFonts w:ascii="Arial" w:hAnsi="Arial" w:cs="Arial"/>
          <w:sz w:val="20"/>
        </w:rPr>
        <w:t xml:space="preserve"> include </w:t>
      </w:r>
      <w:r w:rsidR="00672C26">
        <w:rPr>
          <w:rFonts w:ascii="Arial" w:hAnsi="Arial" w:cs="Arial"/>
          <w:sz w:val="20"/>
        </w:rPr>
        <w:t>(list not all inclusive)</w:t>
      </w:r>
      <w:r w:rsidR="00672C26" w:rsidRPr="009D7A9F">
        <w:rPr>
          <w:rFonts w:ascii="Arial" w:hAnsi="Arial" w:cs="Arial"/>
          <w:sz w:val="20"/>
        </w:rPr>
        <w:t>:</w:t>
      </w:r>
    </w:p>
    <w:p w14:paraId="20CD4E7B" w14:textId="7E1C57DB" w:rsidR="00672C26" w:rsidRPr="009D7A9F" w:rsidRDefault="00672C26" w:rsidP="009D7A9F">
      <w:pPr>
        <w:pStyle w:val="ListParagraph"/>
        <w:numPr>
          <w:ilvl w:val="0"/>
          <w:numId w:val="82"/>
        </w:numPr>
        <w:spacing w:line="0" w:lineRule="atLeast"/>
        <w:contextualSpacing/>
        <w:jc w:val="both"/>
        <w:rPr>
          <w:rFonts w:ascii="Arial" w:hAnsi="Arial" w:cs="Arial"/>
          <w:sz w:val="20"/>
        </w:rPr>
      </w:pPr>
      <w:r w:rsidRPr="009D7A9F">
        <w:rPr>
          <w:rFonts w:ascii="Arial" w:hAnsi="Arial" w:cs="Arial"/>
          <w:sz w:val="20"/>
        </w:rPr>
        <w:t>A significant decrease in the market price of a long-lived asset (asset group)</w:t>
      </w:r>
    </w:p>
    <w:p w14:paraId="40F3DCBF" w14:textId="69728FE8" w:rsidR="00672C26" w:rsidRPr="009D7A9F" w:rsidRDefault="00672C26" w:rsidP="009D7A9F">
      <w:pPr>
        <w:pStyle w:val="ListParagraph"/>
        <w:numPr>
          <w:ilvl w:val="0"/>
          <w:numId w:val="82"/>
        </w:numPr>
        <w:spacing w:line="0" w:lineRule="atLeast"/>
        <w:contextualSpacing/>
        <w:jc w:val="both"/>
        <w:rPr>
          <w:rFonts w:ascii="Arial" w:hAnsi="Arial" w:cs="Arial"/>
          <w:sz w:val="20"/>
        </w:rPr>
      </w:pPr>
      <w:r w:rsidRPr="009D7A9F">
        <w:rPr>
          <w:rFonts w:ascii="Arial" w:hAnsi="Arial" w:cs="Arial"/>
          <w:sz w:val="20"/>
        </w:rPr>
        <w:t xml:space="preserve">A significant adverse change in the event or </w:t>
      </w:r>
      <w:proofErr w:type="gramStart"/>
      <w:r w:rsidRPr="009D7A9F">
        <w:rPr>
          <w:rFonts w:ascii="Arial" w:hAnsi="Arial" w:cs="Arial"/>
          <w:sz w:val="20"/>
        </w:rPr>
        <w:t>manner in which</w:t>
      </w:r>
      <w:proofErr w:type="gramEnd"/>
      <w:r w:rsidRPr="009D7A9F">
        <w:rPr>
          <w:rFonts w:ascii="Arial" w:hAnsi="Arial" w:cs="Arial"/>
          <w:sz w:val="20"/>
        </w:rPr>
        <w:t xml:space="preserve"> a long-lived asset</w:t>
      </w:r>
      <w:r>
        <w:rPr>
          <w:rFonts w:ascii="Arial" w:hAnsi="Arial" w:cs="Arial"/>
          <w:sz w:val="20"/>
        </w:rPr>
        <w:t xml:space="preserve"> (asset group) is being used or in its physical condition</w:t>
      </w:r>
    </w:p>
    <w:p w14:paraId="141FA89D" w14:textId="498ADFBA" w:rsidR="00672C26" w:rsidRPr="009D7A9F" w:rsidRDefault="00672C26" w:rsidP="009D7A9F">
      <w:pPr>
        <w:pStyle w:val="ListParagraph"/>
        <w:numPr>
          <w:ilvl w:val="0"/>
          <w:numId w:val="82"/>
        </w:numPr>
        <w:spacing w:line="0" w:lineRule="atLeast"/>
        <w:contextualSpacing/>
        <w:jc w:val="both"/>
        <w:rPr>
          <w:rFonts w:ascii="Arial" w:hAnsi="Arial" w:cs="Arial"/>
          <w:sz w:val="20"/>
        </w:rPr>
      </w:pPr>
      <w:r w:rsidRPr="009D7A9F">
        <w:rPr>
          <w:rFonts w:ascii="Arial" w:hAnsi="Arial" w:cs="Arial"/>
          <w:sz w:val="20"/>
        </w:rPr>
        <w:t xml:space="preserve">A current expectation that, more likely than not, a long-lived asset (asset group) will be sold or otherwise disposed of significantly before the end of its previously estimated useful life. The term more likely than not refers to a level of likelihood that is more than 50 percent </w:t>
      </w:r>
    </w:p>
    <w:p w14:paraId="31CFC74C" w14:textId="77777777" w:rsidR="006C1E12" w:rsidRDefault="006C1E12" w:rsidP="006C1E12">
      <w:pPr>
        <w:pStyle w:val="ListParagraph"/>
        <w:spacing w:line="0" w:lineRule="atLeast"/>
        <w:ind w:left="360"/>
        <w:contextualSpacing/>
        <w:jc w:val="both"/>
        <w:rPr>
          <w:rFonts w:ascii="Century Gothic" w:hAnsi="Century Gothic" w:cs="Arial"/>
          <w:bCs/>
          <w:sz w:val="20"/>
        </w:rPr>
      </w:pPr>
    </w:p>
    <w:p w14:paraId="5B0CF860" w14:textId="77777777" w:rsidR="009F6BF9" w:rsidRDefault="005F2DC3" w:rsidP="006C1E12">
      <w:pPr>
        <w:pStyle w:val="ListParagraph"/>
        <w:spacing w:line="0" w:lineRule="atLeast"/>
        <w:ind w:left="360"/>
        <w:contextualSpacing/>
        <w:jc w:val="both"/>
        <w:rPr>
          <w:rFonts w:ascii="Arial" w:hAnsi="Arial" w:cs="Arial"/>
          <w:sz w:val="20"/>
        </w:rPr>
      </w:pPr>
      <w:r>
        <w:rPr>
          <w:rFonts w:ascii="Arial" w:hAnsi="Arial" w:cs="Arial"/>
          <w:sz w:val="20"/>
        </w:rPr>
        <w:t xml:space="preserve">If an </w:t>
      </w:r>
      <w:r w:rsidRPr="009D7A9F">
        <w:rPr>
          <w:rFonts w:ascii="Arial" w:hAnsi="Arial" w:cs="Arial"/>
          <w:sz w:val="20"/>
        </w:rPr>
        <w:t xml:space="preserve">impairment indicator </w:t>
      </w:r>
      <w:r>
        <w:rPr>
          <w:rFonts w:ascii="Arial" w:hAnsi="Arial" w:cs="Arial"/>
          <w:sz w:val="20"/>
        </w:rPr>
        <w:t xml:space="preserve">is identified </w:t>
      </w:r>
      <w:r w:rsidRPr="009D7A9F">
        <w:rPr>
          <w:rFonts w:ascii="Arial" w:hAnsi="Arial" w:cs="Arial"/>
          <w:sz w:val="20"/>
        </w:rPr>
        <w:t xml:space="preserve">for an individual asset </w:t>
      </w:r>
      <w:r>
        <w:rPr>
          <w:rFonts w:ascii="Arial" w:hAnsi="Arial" w:cs="Arial"/>
          <w:sz w:val="20"/>
        </w:rPr>
        <w:t xml:space="preserve">that is </w:t>
      </w:r>
      <w:r w:rsidRPr="009D7A9F">
        <w:rPr>
          <w:rFonts w:ascii="Arial" w:hAnsi="Arial" w:cs="Arial"/>
          <w:sz w:val="20"/>
        </w:rPr>
        <w:t xml:space="preserve">included in a broader asset group, the significance of the asset </w:t>
      </w:r>
      <w:r>
        <w:rPr>
          <w:rFonts w:ascii="Arial" w:hAnsi="Arial" w:cs="Arial"/>
          <w:sz w:val="20"/>
        </w:rPr>
        <w:t xml:space="preserve">should be considered </w:t>
      </w:r>
      <w:r w:rsidRPr="009D7A9F">
        <w:rPr>
          <w:rFonts w:ascii="Arial" w:hAnsi="Arial" w:cs="Arial"/>
          <w:sz w:val="20"/>
        </w:rPr>
        <w:t xml:space="preserve">in relation to the overall asset group and the facts and circumstances surrounding the impairment indicator. </w:t>
      </w:r>
      <w:r>
        <w:rPr>
          <w:rFonts w:ascii="Arial" w:hAnsi="Arial" w:cs="Arial"/>
          <w:sz w:val="20"/>
        </w:rPr>
        <w:t xml:space="preserve">If it is determined that the </w:t>
      </w:r>
      <w:r w:rsidRPr="009D7A9F">
        <w:rPr>
          <w:rFonts w:ascii="Arial" w:hAnsi="Arial" w:cs="Arial"/>
          <w:sz w:val="20"/>
        </w:rPr>
        <w:t xml:space="preserve">individual asset is insignificant to the broader asset group, it may </w:t>
      </w:r>
      <w:r>
        <w:rPr>
          <w:rFonts w:ascii="Arial" w:hAnsi="Arial" w:cs="Arial"/>
          <w:sz w:val="20"/>
        </w:rPr>
        <w:t xml:space="preserve">be </w:t>
      </w:r>
      <w:r w:rsidRPr="009D7A9F">
        <w:rPr>
          <w:rFonts w:ascii="Arial" w:hAnsi="Arial" w:cs="Arial"/>
          <w:sz w:val="20"/>
        </w:rPr>
        <w:t>conclude</w:t>
      </w:r>
      <w:r>
        <w:rPr>
          <w:rFonts w:ascii="Arial" w:hAnsi="Arial" w:cs="Arial"/>
          <w:sz w:val="20"/>
        </w:rPr>
        <w:t>d</w:t>
      </w:r>
      <w:r w:rsidRPr="009D7A9F">
        <w:rPr>
          <w:rFonts w:ascii="Arial" w:hAnsi="Arial" w:cs="Arial"/>
          <w:sz w:val="20"/>
        </w:rPr>
        <w:t xml:space="preserve"> that an impairment indicator does not exist for the asset group, and thus no impairment testing would be necessary. Alternatively, if </w:t>
      </w:r>
      <w:r>
        <w:rPr>
          <w:rFonts w:ascii="Arial" w:hAnsi="Arial" w:cs="Arial"/>
          <w:sz w:val="20"/>
        </w:rPr>
        <w:t xml:space="preserve">it is determined </w:t>
      </w:r>
      <w:r w:rsidRPr="009D7A9F">
        <w:rPr>
          <w:rFonts w:ascii="Arial" w:hAnsi="Arial" w:cs="Arial"/>
          <w:sz w:val="20"/>
        </w:rPr>
        <w:t>that the individual asset is significant in relation to the larger asset group, or the impairment indicators impacting the individual asset more broadly impact the overall asset group, impairment testing at the asset group level may be required.</w:t>
      </w:r>
      <w:r>
        <w:rPr>
          <w:rFonts w:ascii="Arial" w:hAnsi="Arial" w:cs="Arial"/>
          <w:sz w:val="20"/>
        </w:rPr>
        <w:t xml:space="preserve"> </w:t>
      </w:r>
    </w:p>
    <w:p w14:paraId="365AB99F" w14:textId="77777777" w:rsidR="009F6BF9" w:rsidRDefault="009F6BF9" w:rsidP="006C1E12">
      <w:pPr>
        <w:pStyle w:val="ListParagraph"/>
        <w:spacing w:line="0" w:lineRule="atLeast"/>
        <w:ind w:left="360"/>
        <w:contextualSpacing/>
        <w:jc w:val="both"/>
        <w:rPr>
          <w:rFonts w:ascii="Arial" w:hAnsi="Arial" w:cs="Arial"/>
          <w:sz w:val="20"/>
        </w:rPr>
      </w:pPr>
    </w:p>
    <w:p w14:paraId="6B227B8C" w14:textId="4F6DB175" w:rsidR="005F2DC3" w:rsidRDefault="005F2DC3" w:rsidP="006C1E12">
      <w:pPr>
        <w:pStyle w:val="ListParagraph"/>
        <w:spacing w:line="0" w:lineRule="atLeast"/>
        <w:ind w:left="360"/>
        <w:contextualSpacing/>
        <w:jc w:val="both"/>
        <w:rPr>
          <w:rFonts w:ascii="Arial" w:hAnsi="Arial" w:cs="Arial"/>
          <w:sz w:val="20"/>
        </w:rPr>
      </w:pPr>
      <w:r>
        <w:rPr>
          <w:rFonts w:ascii="Arial" w:hAnsi="Arial" w:cs="Arial"/>
          <w:sz w:val="20"/>
        </w:rPr>
        <w:t xml:space="preserve">Technical accounting should be consulted in making the final determination and performing the recoverability test. </w:t>
      </w:r>
    </w:p>
    <w:p w14:paraId="40542D87" w14:textId="77777777" w:rsidR="005F2DC3" w:rsidRDefault="005F2DC3" w:rsidP="006C1E12">
      <w:pPr>
        <w:pStyle w:val="ListParagraph"/>
        <w:spacing w:line="0" w:lineRule="atLeast"/>
        <w:ind w:left="360"/>
        <w:contextualSpacing/>
        <w:jc w:val="both"/>
        <w:rPr>
          <w:rFonts w:ascii="Arial" w:hAnsi="Arial" w:cs="Arial"/>
          <w:sz w:val="20"/>
        </w:rPr>
      </w:pPr>
    </w:p>
    <w:p w14:paraId="1003BE2F" w14:textId="1052403D" w:rsidR="005F2DC3" w:rsidRDefault="005F2DC3" w:rsidP="00D43D29">
      <w:pPr>
        <w:pStyle w:val="ListParagraph"/>
        <w:spacing w:line="0" w:lineRule="atLeast"/>
        <w:ind w:left="360"/>
        <w:contextualSpacing/>
        <w:jc w:val="both"/>
        <w:rPr>
          <w:rFonts w:ascii="Arial" w:hAnsi="Arial" w:cs="Arial"/>
          <w:sz w:val="20"/>
        </w:rPr>
      </w:pPr>
      <w:r>
        <w:rPr>
          <w:rFonts w:ascii="Arial" w:hAnsi="Arial" w:cs="Arial"/>
          <w:sz w:val="20"/>
        </w:rPr>
        <w:t>I</w:t>
      </w:r>
      <w:r w:rsidRPr="006534BD">
        <w:rPr>
          <w:rFonts w:ascii="Arial" w:hAnsi="Arial" w:cs="Arial"/>
          <w:sz w:val="20"/>
        </w:rPr>
        <w:t>mpairment losses incurred in the current period will be disclosed as its own caption as a component of operating income/loss on the consolidated statements of operations.</w:t>
      </w:r>
    </w:p>
    <w:p w14:paraId="14985573" w14:textId="77777777" w:rsidR="00D43D29" w:rsidRDefault="00D43D29" w:rsidP="00D43D29">
      <w:pPr>
        <w:pStyle w:val="ListParagraph"/>
        <w:spacing w:line="0" w:lineRule="atLeast"/>
        <w:ind w:left="360"/>
        <w:contextualSpacing/>
        <w:jc w:val="both"/>
        <w:rPr>
          <w:rFonts w:ascii="Arial" w:hAnsi="Arial" w:cs="Arial"/>
          <w:sz w:val="20"/>
        </w:rPr>
      </w:pPr>
    </w:p>
    <w:p w14:paraId="51E61AEB" w14:textId="7886AA6C" w:rsidR="00DF7DFD" w:rsidRDefault="00F62BB8" w:rsidP="00D43D29">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r w:rsidRPr="00D76534">
        <w:rPr>
          <w:rFonts w:ascii="Century Gothic" w:hAnsi="Century Gothic" w:cs="Arial"/>
          <w:bCs w:val="0"/>
          <w:sz w:val="20"/>
        </w:rPr>
        <w:t>Leased Assets</w:t>
      </w:r>
      <w:bookmarkEnd w:id="55"/>
      <w:bookmarkEnd w:id="56"/>
    </w:p>
    <w:p w14:paraId="54C66A82" w14:textId="77777777" w:rsidR="0017133E" w:rsidRDefault="0017133E" w:rsidP="00B5048D">
      <w:pPr>
        <w:pStyle w:val="ListParagraph"/>
        <w:spacing w:line="0" w:lineRule="atLeast"/>
        <w:ind w:left="360"/>
        <w:contextualSpacing/>
        <w:jc w:val="both"/>
        <w:rPr>
          <w:rFonts w:ascii="Century Gothic" w:hAnsi="Century Gothic" w:cs="Arial"/>
          <w:b/>
          <w:sz w:val="20"/>
        </w:rPr>
      </w:pPr>
    </w:p>
    <w:p w14:paraId="2A6A26F3" w14:textId="4DA52D44" w:rsidR="00C34844" w:rsidRPr="00C34844" w:rsidRDefault="00C34844" w:rsidP="00B5048D">
      <w:pPr>
        <w:pStyle w:val="ListParagraph"/>
        <w:spacing w:line="0" w:lineRule="atLeast"/>
        <w:ind w:left="360"/>
        <w:contextualSpacing/>
        <w:jc w:val="both"/>
        <w:rPr>
          <w:rFonts w:ascii="Century Gothic" w:hAnsi="Century Gothic" w:cs="Arial"/>
          <w:b/>
          <w:sz w:val="20"/>
        </w:rPr>
      </w:pPr>
      <w:r w:rsidRPr="00C34844">
        <w:rPr>
          <w:rFonts w:ascii="Century Gothic" w:hAnsi="Century Gothic" w:cs="Arial"/>
          <w:b/>
          <w:sz w:val="20"/>
        </w:rPr>
        <w:t>12.1 General</w:t>
      </w:r>
    </w:p>
    <w:p w14:paraId="16F75BBE" w14:textId="2E8E33CA" w:rsidR="00D76534" w:rsidRPr="00D76534" w:rsidRDefault="00D76534" w:rsidP="00B5048D">
      <w:pPr>
        <w:pStyle w:val="ListParagraph"/>
        <w:spacing w:line="0" w:lineRule="atLeast"/>
        <w:ind w:left="360"/>
        <w:contextualSpacing/>
        <w:jc w:val="both"/>
        <w:rPr>
          <w:rFonts w:ascii="Arial" w:hAnsi="Arial" w:cs="Arial"/>
          <w:sz w:val="20"/>
        </w:rPr>
      </w:pPr>
      <w:r w:rsidRPr="00D76534">
        <w:rPr>
          <w:rFonts w:ascii="Arial" w:hAnsi="Arial" w:cs="Arial"/>
          <w:sz w:val="20"/>
        </w:rPr>
        <w:t xml:space="preserve">Nearly all leases will be recorded on the balance sheet regardless of whether the lease is classified as an operating or finance </w:t>
      </w:r>
      <w:r w:rsidR="007A7604" w:rsidRPr="00D76534">
        <w:rPr>
          <w:rFonts w:ascii="Arial" w:hAnsi="Arial" w:cs="Arial"/>
          <w:sz w:val="20"/>
        </w:rPr>
        <w:t>lease</w:t>
      </w:r>
      <w:r w:rsidRPr="00D76534">
        <w:rPr>
          <w:rFonts w:ascii="Arial" w:hAnsi="Arial" w:cs="Arial"/>
          <w:sz w:val="20"/>
        </w:rPr>
        <w:t xml:space="preserve"> (previously referred to as capital leases). </w:t>
      </w:r>
      <w:r w:rsidR="00160FD7">
        <w:rPr>
          <w:rFonts w:ascii="Arial" w:hAnsi="Arial" w:cs="Arial"/>
          <w:sz w:val="20"/>
        </w:rPr>
        <w:t>A</w:t>
      </w:r>
      <w:r w:rsidRPr="00D76534">
        <w:rPr>
          <w:rFonts w:ascii="Arial" w:hAnsi="Arial" w:cs="Arial"/>
          <w:sz w:val="20"/>
        </w:rPr>
        <w:t xml:space="preserve"> lease liability and a corresponding right-of-use (ROU) asset </w:t>
      </w:r>
      <w:r w:rsidR="00160FD7">
        <w:rPr>
          <w:rFonts w:ascii="Arial" w:hAnsi="Arial" w:cs="Arial"/>
          <w:sz w:val="20"/>
        </w:rPr>
        <w:t xml:space="preserve">is recognized and are </w:t>
      </w:r>
      <w:r w:rsidRPr="00D76534">
        <w:rPr>
          <w:rFonts w:ascii="Arial" w:hAnsi="Arial" w:cs="Arial"/>
          <w:sz w:val="20"/>
        </w:rPr>
        <w:t>initially recorded at the present value of the lease payments for both operating and finance leases that arise from lease arrangements</w:t>
      </w:r>
      <w:r>
        <w:rPr>
          <w:rFonts w:ascii="Arial" w:hAnsi="Arial" w:cs="Arial"/>
          <w:sz w:val="20"/>
        </w:rPr>
        <w:t>. F</w:t>
      </w:r>
      <w:r w:rsidRPr="00D76534">
        <w:rPr>
          <w:rFonts w:ascii="Arial" w:hAnsi="Arial" w:cs="Arial"/>
          <w:sz w:val="20"/>
        </w:rPr>
        <w:t xml:space="preserve">or leases with a term of 12 months or less, </w:t>
      </w:r>
      <w:r w:rsidR="00A00304">
        <w:rPr>
          <w:rFonts w:ascii="Arial" w:hAnsi="Arial" w:cs="Arial"/>
          <w:sz w:val="20"/>
        </w:rPr>
        <w:t xml:space="preserve">the Company has made an accounting policy election </w:t>
      </w:r>
      <w:r w:rsidRPr="00D76534">
        <w:rPr>
          <w:rFonts w:ascii="Arial" w:hAnsi="Arial" w:cs="Arial"/>
          <w:sz w:val="20"/>
        </w:rPr>
        <w:t xml:space="preserve">not </w:t>
      </w:r>
      <w:r w:rsidR="00A00304">
        <w:rPr>
          <w:rFonts w:ascii="Arial" w:hAnsi="Arial" w:cs="Arial"/>
          <w:sz w:val="20"/>
        </w:rPr>
        <w:t xml:space="preserve">to </w:t>
      </w:r>
      <w:r w:rsidRPr="00D76534">
        <w:rPr>
          <w:rFonts w:ascii="Arial" w:hAnsi="Arial" w:cs="Arial"/>
          <w:sz w:val="20"/>
        </w:rPr>
        <w:t>recognize lease assets and lease liabilities.</w:t>
      </w:r>
      <w:r w:rsidR="00A00304">
        <w:rPr>
          <w:rFonts w:ascii="Arial" w:hAnsi="Arial" w:cs="Arial"/>
          <w:sz w:val="20"/>
        </w:rPr>
        <w:t xml:space="preserve"> Technical </w:t>
      </w:r>
      <w:r w:rsidR="00171277">
        <w:rPr>
          <w:rFonts w:ascii="Arial" w:hAnsi="Arial" w:cs="Arial"/>
          <w:sz w:val="20"/>
        </w:rPr>
        <w:t>a</w:t>
      </w:r>
      <w:r w:rsidR="00A00304">
        <w:rPr>
          <w:rFonts w:ascii="Arial" w:hAnsi="Arial" w:cs="Arial"/>
          <w:sz w:val="20"/>
        </w:rPr>
        <w:t>ccounting should be consulted in making th</w:t>
      </w:r>
      <w:r w:rsidR="00AB3C2E">
        <w:rPr>
          <w:rFonts w:ascii="Arial" w:hAnsi="Arial" w:cs="Arial"/>
          <w:sz w:val="20"/>
        </w:rPr>
        <w:t>e final determination.</w:t>
      </w:r>
      <w:r w:rsidR="00A00304">
        <w:rPr>
          <w:rFonts w:ascii="Arial" w:hAnsi="Arial" w:cs="Arial"/>
          <w:sz w:val="20"/>
        </w:rPr>
        <w:t xml:space="preserve"> </w:t>
      </w:r>
      <w:r w:rsidRPr="00D76534">
        <w:rPr>
          <w:rFonts w:ascii="Arial" w:hAnsi="Arial" w:cs="Arial"/>
          <w:sz w:val="20"/>
        </w:rPr>
        <w:t xml:space="preserve"> </w:t>
      </w:r>
    </w:p>
    <w:p w14:paraId="2A8733C8" w14:textId="77777777" w:rsidR="00D76534" w:rsidRPr="00D76534" w:rsidRDefault="00D76534" w:rsidP="00B5048D">
      <w:pPr>
        <w:pStyle w:val="ListParagraph"/>
        <w:spacing w:line="0" w:lineRule="atLeast"/>
        <w:ind w:left="360"/>
        <w:contextualSpacing/>
        <w:jc w:val="both"/>
        <w:rPr>
          <w:rFonts w:ascii="Arial" w:hAnsi="Arial" w:cs="Arial"/>
          <w:sz w:val="20"/>
        </w:rPr>
      </w:pPr>
    </w:p>
    <w:p w14:paraId="0ABBB692" w14:textId="64EA64F4" w:rsidR="00D76534" w:rsidRDefault="00D76534" w:rsidP="00B5048D">
      <w:pPr>
        <w:pStyle w:val="ListParagraph"/>
        <w:spacing w:line="0" w:lineRule="atLeast"/>
        <w:ind w:left="360"/>
        <w:contextualSpacing/>
        <w:jc w:val="both"/>
        <w:rPr>
          <w:rFonts w:ascii="Arial" w:hAnsi="Arial" w:cs="Arial"/>
          <w:sz w:val="20"/>
        </w:rPr>
      </w:pPr>
      <w:r>
        <w:rPr>
          <w:rFonts w:ascii="Arial" w:hAnsi="Arial" w:cs="Arial"/>
          <w:sz w:val="20"/>
        </w:rPr>
        <w:t>F</w:t>
      </w:r>
      <w:r w:rsidRPr="00D76534">
        <w:rPr>
          <w:rFonts w:ascii="Arial" w:hAnsi="Arial" w:cs="Arial"/>
          <w:sz w:val="20"/>
        </w:rPr>
        <w:t>inance leases and operating leases</w:t>
      </w:r>
      <w:r>
        <w:rPr>
          <w:rFonts w:ascii="Arial" w:hAnsi="Arial" w:cs="Arial"/>
          <w:sz w:val="20"/>
        </w:rPr>
        <w:t xml:space="preserve"> </w:t>
      </w:r>
      <w:r w:rsidRPr="00D76534">
        <w:rPr>
          <w:rFonts w:ascii="Arial" w:hAnsi="Arial" w:cs="Arial"/>
          <w:sz w:val="20"/>
        </w:rPr>
        <w:t xml:space="preserve">require different recognition and presentation </w:t>
      </w:r>
      <w:r>
        <w:rPr>
          <w:rFonts w:ascii="Arial" w:hAnsi="Arial" w:cs="Arial"/>
          <w:sz w:val="20"/>
        </w:rPr>
        <w:t>in the financial</w:t>
      </w:r>
      <w:r w:rsidRPr="00D76534">
        <w:rPr>
          <w:rFonts w:ascii="Arial" w:hAnsi="Arial" w:cs="Arial"/>
          <w:sz w:val="20"/>
        </w:rPr>
        <w:t xml:space="preserve"> statement</w:t>
      </w:r>
      <w:r>
        <w:rPr>
          <w:rFonts w:ascii="Arial" w:hAnsi="Arial" w:cs="Arial"/>
          <w:sz w:val="20"/>
        </w:rPr>
        <w:t>s</w:t>
      </w:r>
      <w:r w:rsidRPr="00D76534">
        <w:rPr>
          <w:rFonts w:ascii="Arial" w:hAnsi="Arial" w:cs="Arial"/>
          <w:sz w:val="20"/>
        </w:rPr>
        <w:t>.  Accounting for finance leases is generally consistent with previous guidance for capital leases, where interest expense is recognized on the lease liability and amortization expense is recognized on the ROU asset. For operating leases, however, there is no interest expense or amortization expense recorded separately. Rather, a single lease expense (which includes both interest and amortization) is recognized over the lease term on a generally straight-line basis.</w:t>
      </w:r>
      <w:r>
        <w:rPr>
          <w:rFonts w:ascii="Arial" w:hAnsi="Arial" w:cs="Arial"/>
          <w:sz w:val="20"/>
        </w:rPr>
        <w:t xml:space="preserve"> </w:t>
      </w:r>
    </w:p>
    <w:p w14:paraId="0F2FC4A1" w14:textId="6BF2FFA9" w:rsidR="00160FD7" w:rsidRDefault="00160FD7" w:rsidP="00B5048D">
      <w:pPr>
        <w:pStyle w:val="ListParagraph"/>
        <w:spacing w:line="0" w:lineRule="atLeast"/>
        <w:ind w:left="360"/>
        <w:contextualSpacing/>
        <w:jc w:val="both"/>
        <w:rPr>
          <w:rFonts w:ascii="Arial" w:hAnsi="Arial" w:cs="Arial"/>
          <w:sz w:val="20"/>
        </w:rPr>
      </w:pPr>
    </w:p>
    <w:p w14:paraId="1F40085A" w14:textId="5EA155CB" w:rsidR="00160FD7" w:rsidRPr="00C34844" w:rsidRDefault="00160FD7" w:rsidP="00B5048D">
      <w:pPr>
        <w:pStyle w:val="ListParagraph"/>
        <w:spacing w:line="0" w:lineRule="atLeast"/>
        <w:ind w:left="360"/>
        <w:contextualSpacing/>
        <w:jc w:val="both"/>
        <w:rPr>
          <w:rFonts w:ascii="Century Gothic" w:hAnsi="Century Gothic" w:cs="Arial"/>
          <w:b/>
          <w:sz w:val="20"/>
        </w:rPr>
      </w:pPr>
      <w:r>
        <w:rPr>
          <w:rFonts w:ascii="Century Gothic" w:hAnsi="Century Gothic" w:cs="Arial"/>
          <w:b/>
          <w:sz w:val="20"/>
        </w:rPr>
        <w:t xml:space="preserve">12.2 </w:t>
      </w:r>
      <w:r w:rsidRPr="00160FD7">
        <w:rPr>
          <w:rFonts w:ascii="Century Gothic" w:hAnsi="Century Gothic" w:cs="Arial"/>
          <w:b/>
          <w:sz w:val="20"/>
        </w:rPr>
        <w:t>Recap of Lessee Recognition and Presentation Requirements for the Company</w:t>
      </w:r>
      <w:r>
        <w:rPr>
          <w:rFonts w:ascii="Century Gothic" w:hAnsi="Century Gothic" w:cs="Arial"/>
          <w:b/>
          <w:sz w:val="20"/>
        </w:rPr>
        <w:t xml:space="preserve"> (as lessee)</w:t>
      </w:r>
    </w:p>
    <w:p w14:paraId="08A0A050" w14:textId="77777777" w:rsidR="00160FD7" w:rsidRDefault="00160FD7" w:rsidP="00B5048D">
      <w:pPr>
        <w:autoSpaceDE w:val="0"/>
        <w:autoSpaceDN w:val="0"/>
        <w:adjustRightInd w:val="0"/>
        <w:jc w:val="center"/>
        <w:rPr>
          <w:rStyle w:val="fontstyle01"/>
        </w:rPr>
      </w:pPr>
    </w:p>
    <w:tbl>
      <w:tblPr>
        <w:tblStyle w:val="GridTable4-Accent1"/>
        <w:tblW w:w="9180" w:type="dxa"/>
        <w:tblInd w:w="355" w:type="dxa"/>
        <w:tblLayout w:type="fixed"/>
        <w:tblLook w:val="04A0" w:firstRow="1" w:lastRow="0" w:firstColumn="1" w:lastColumn="0" w:noHBand="0" w:noVBand="1"/>
      </w:tblPr>
      <w:tblGrid>
        <w:gridCol w:w="1260"/>
        <w:gridCol w:w="3960"/>
        <w:gridCol w:w="3960"/>
      </w:tblGrid>
      <w:tr w:rsidR="00160FD7" w:rsidRPr="008572CD" w14:paraId="19508ADF" w14:textId="77777777" w:rsidTr="00B504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532D530" w14:textId="77777777" w:rsidR="00160FD7" w:rsidRPr="00C07CE7" w:rsidRDefault="00160FD7" w:rsidP="0002478A">
            <w:pPr>
              <w:rPr>
                <w:szCs w:val="24"/>
              </w:rPr>
            </w:pPr>
          </w:p>
        </w:tc>
        <w:tc>
          <w:tcPr>
            <w:tcW w:w="3960" w:type="dxa"/>
          </w:tcPr>
          <w:p w14:paraId="5A2947C9" w14:textId="77777777" w:rsidR="00160FD7" w:rsidRPr="00963540" w:rsidRDefault="00160FD7" w:rsidP="0002478A">
            <w:pPr>
              <w:jc w:val="center"/>
              <w:cnfStyle w:val="100000000000" w:firstRow="1" w:lastRow="0" w:firstColumn="0" w:lastColumn="0" w:oddVBand="0" w:evenVBand="0" w:oddHBand="0" w:evenHBand="0" w:firstRowFirstColumn="0" w:firstRowLastColumn="0" w:lastRowFirstColumn="0" w:lastRowLastColumn="0"/>
              <w:rPr>
                <w:b w:val="0"/>
                <w:sz w:val="20"/>
              </w:rPr>
            </w:pPr>
            <w:r w:rsidRPr="00963540">
              <w:rPr>
                <w:rFonts w:ascii="MuseoSans-500" w:hAnsi="MuseoSans-500"/>
                <w:color w:val="1F376C"/>
                <w:sz w:val="20"/>
              </w:rPr>
              <w:t>FINANCE LEASES</w:t>
            </w:r>
          </w:p>
        </w:tc>
        <w:tc>
          <w:tcPr>
            <w:tcW w:w="3960" w:type="dxa"/>
          </w:tcPr>
          <w:p w14:paraId="7CB3D071" w14:textId="77777777" w:rsidR="00160FD7" w:rsidRPr="00963540" w:rsidRDefault="00160FD7" w:rsidP="0002478A">
            <w:pPr>
              <w:jc w:val="center"/>
              <w:cnfStyle w:val="100000000000" w:firstRow="1" w:lastRow="0" w:firstColumn="0" w:lastColumn="0" w:oddVBand="0" w:evenVBand="0" w:oddHBand="0" w:evenHBand="0" w:firstRowFirstColumn="0" w:firstRowLastColumn="0" w:lastRowFirstColumn="0" w:lastRowLastColumn="0"/>
              <w:rPr>
                <w:rFonts w:ascii="MuseoSans-500" w:hAnsi="MuseoSans-500"/>
                <w:b w:val="0"/>
                <w:color w:val="1F376C"/>
                <w:sz w:val="20"/>
              </w:rPr>
            </w:pPr>
            <w:r w:rsidRPr="00963540">
              <w:rPr>
                <w:rFonts w:ascii="MuseoSans-500" w:hAnsi="MuseoSans-500"/>
                <w:color w:val="1F376C"/>
                <w:sz w:val="20"/>
              </w:rPr>
              <w:t>OPERATING LEASES</w:t>
            </w:r>
          </w:p>
        </w:tc>
      </w:tr>
      <w:tr w:rsidR="00160FD7" w:rsidRPr="00C07CE7" w14:paraId="2865CCD3" w14:textId="77777777" w:rsidTr="00B5048D">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260" w:type="dxa"/>
          </w:tcPr>
          <w:p w14:paraId="41EC3E64" w14:textId="77777777" w:rsidR="00160FD7" w:rsidRPr="00963540" w:rsidRDefault="00160FD7" w:rsidP="0002478A">
            <w:pPr>
              <w:rPr>
                <w:rFonts w:ascii="MuseoSans-300" w:hAnsi="MuseoSans-300"/>
                <w:color w:val="000000"/>
                <w:sz w:val="18"/>
                <w:szCs w:val="18"/>
              </w:rPr>
            </w:pPr>
            <w:r w:rsidRPr="00963540">
              <w:rPr>
                <w:rFonts w:ascii="MuseoSans-300" w:hAnsi="MuseoSans-300"/>
                <w:color w:val="000000"/>
                <w:sz w:val="18"/>
                <w:szCs w:val="18"/>
              </w:rPr>
              <w:t>Balance Sheet</w:t>
            </w:r>
          </w:p>
          <w:p w14:paraId="1F2250B5" w14:textId="77777777" w:rsidR="00160FD7" w:rsidRPr="00963540" w:rsidRDefault="00160FD7" w:rsidP="0002478A">
            <w:pPr>
              <w:rPr>
                <w:rFonts w:ascii="MuseoSans-300" w:hAnsi="MuseoSans-300"/>
                <w:color w:val="000000"/>
                <w:sz w:val="18"/>
                <w:szCs w:val="18"/>
              </w:rPr>
            </w:pPr>
          </w:p>
        </w:tc>
        <w:tc>
          <w:tcPr>
            <w:tcW w:w="3960" w:type="dxa"/>
          </w:tcPr>
          <w:p w14:paraId="027EE315"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963540">
              <w:rPr>
                <w:rFonts w:ascii="MuseoSans-300" w:hAnsi="MuseoSans-300"/>
                <w:color w:val="000000"/>
                <w:sz w:val="18"/>
                <w:szCs w:val="18"/>
              </w:rPr>
              <w:t>Recognize a right-of-use (ROU) asset and a lease liability, initially measured at the present value of the lease payments.</w:t>
            </w:r>
          </w:p>
          <w:p w14:paraId="58DA605D"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p>
          <w:p w14:paraId="4CAFB16B"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963540">
              <w:rPr>
                <w:rFonts w:ascii="MuseoSans-300" w:hAnsi="MuseoSans-300"/>
                <w:b/>
                <w:color w:val="000000"/>
                <w:sz w:val="18"/>
                <w:szCs w:val="18"/>
              </w:rPr>
              <w:t>ROU assets</w:t>
            </w:r>
            <w:r w:rsidRPr="00963540">
              <w:rPr>
                <w:rFonts w:ascii="MuseoSans-300" w:hAnsi="MuseoSans-300"/>
                <w:color w:val="000000"/>
                <w:sz w:val="18"/>
                <w:szCs w:val="18"/>
              </w:rPr>
              <w:t xml:space="preserve"> - Presented in separate line item, or within another line item, </w:t>
            </w:r>
            <w:r w:rsidRPr="00963540">
              <w:rPr>
                <w:rFonts w:ascii="MuseoSans-300" w:hAnsi="MuseoSans-300"/>
                <w:color w:val="000000"/>
                <w:sz w:val="18"/>
                <w:szCs w:val="18"/>
                <w:u w:val="single"/>
              </w:rPr>
              <w:t>separate from where operating lease ROU assets</w:t>
            </w:r>
            <w:r w:rsidRPr="00963540">
              <w:rPr>
                <w:rFonts w:ascii="MuseoSans-300" w:hAnsi="MuseoSans-300"/>
                <w:color w:val="000000"/>
                <w:sz w:val="18"/>
                <w:szCs w:val="18"/>
              </w:rPr>
              <w:t xml:space="preserve"> are presented.</w:t>
            </w:r>
          </w:p>
          <w:p w14:paraId="0B363A5A"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b/>
                <w:color w:val="000000"/>
                <w:sz w:val="18"/>
                <w:szCs w:val="18"/>
              </w:rPr>
            </w:pPr>
          </w:p>
          <w:p w14:paraId="3A69586D"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963540">
              <w:rPr>
                <w:rFonts w:ascii="MuseoSans-300" w:hAnsi="MuseoSans-300"/>
                <w:b/>
                <w:color w:val="000000"/>
                <w:sz w:val="18"/>
                <w:szCs w:val="18"/>
              </w:rPr>
              <w:t>Lease liabilities</w:t>
            </w:r>
            <w:r w:rsidRPr="00963540">
              <w:rPr>
                <w:rFonts w:ascii="MuseoSans-300" w:hAnsi="MuseoSans-300"/>
                <w:color w:val="000000"/>
                <w:sz w:val="18"/>
                <w:szCs w:val="18"/>
              </w:rPr>
              <w:t xml:space="preserve"> – Presented in separate line item, or within another line item, </w:t>
            </w:r>
            <w:r w:rsidRPr="00963540">
              <w:rPr>
                <w:rFonts w:ascii="MuseoSans-300" w:hAnsi="MuseoSans-300"/>
                <w:color w:val="000000"/>
                <w:sz w:val="18"/>
                <w:szCs w:val="18"/>
                <w:u w:val="single"/>
              </w:rPr>
              <w:t>separate from where operating lease liabilities</w:t>
            </w:r>
            <w:r w:rsidRPr="00963540">
              <w:rPr>
                <w:rFonts w:ascii="MuseoSans-300" w:hAnsi="MuseoSans-300"/>
                <w:color w:val="000000"/>
                <w:sz w:val="18"/>
                <w:szCs w:val="18"/>
              </w:rPr>
              <w:t xml:space="preserve"> are presented.</w:t>
            </w:r>
          </w:p>
        </w:tc>
        <w:tc>
          <w:tcPr>
            <w:tcW w:w="3960" w:type="dxa"/>
          </w:tcPr>
          <w:p w14:paraId="76721D3E" w14:textId="77777777" w:rsidR="00160FD7"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C07CE7">
              <w:rPr>
                <w:rFonts w:ascii="MuseoSans-300" w:hAnsi="MuseoSans-300"/>
                <w:color w:val="000000"/>
                <w:sz w:val="18"/>
                <w:szCs w:val="18"/>
              </w:rPr>
              <w:t xml:space="preserve">Recognize a right-of-use </w:t>
            </w:r>
            <w:r>
              <w:rPr>
                <w:rFonts w:ascii="MuseoSans-300" w:hAnsi="MuseoSans-300"/>
                <w:color w:val="000000"/>
                <w:sz w:val="18"/>
                <w:szCs w:val="18"/>
              </w:rPr>
              <w:t xml:space="preserve">(ROU) </w:t>
            </w:r>
            <w:r w:rsidRPr="00C07CE7">
              <w:rPr>
                <w:rFonts w:ascii="MuseoSans-300" w:hAnsi="MuseoSans-300"/>
                <w:color w:val="000000"/>
                <w:sz w:val="18"/>
                <w:szCs w:val="18"/>
              </w:rPr>
              <w:t>asset and a lease liability,</w:t>
            </w:r>
            <w:r>
              <w:rPr>
                <w:rFonts w:ascii="MuseoSans-300" w:hAnsi="MuseoSans-300"/>
                <w:color w:val="000000"/>
                <w:sz w:val="18"/>
                <w:szCs w:val="18"/>
              </w:rPr>
              <w:t xml:space="preserve"> </w:t>
            </w:r>
            <w:r w:rsidRPr="00C07CE7">
              <w:rPr>
                <w:rFonts w:ascii="MuseoSans-300" w:hAnsi="MuseoSans-300"/>
                <w:color w:val="000000"/>
                <w:sz w:val="18"/>
                <w:szCs w:val="18"/>
              </w:rPr>
              <w:t>initially measured at the present value of the lease</w:t>
            </w:r>
            <w:r>
              <w:rPr>
                <w:rFonts w:ascii="MuseoSans-300" w:hAnsi="MuseoSans-300"/>
                <w:color w:val="000000"/>
                <w:sz w:val="18"/>
                <w:szCs w:val="18"/>
              </w:rPr>
              <w:t xml:space="preserve"> </w:t>
            </w:r>
            <w:r w:rsidRPr="00C07CE7">
              <w:rPr>
                <w:rFonts w:ascii="MuseoSans-300" w:hAnsi="MuseoSans-300"/>
                <w:color w:val="000000"/>
                <w:sz w:val="18"/>
                <w:szCs w:val="18"/>
              </w:rPr>
              <w:t>payments</w:t>
            </w:r>
            <w:r>
              <w:rPr>
                <w:rFonts w:ascii="MuseoSans-300" w:hAnsi="MuseoSans-300"/>
                <w:color w:val="000000"/>
                <w:sz w:val="18"/>
                <w:szCs w:val="18"/>
              </w:rPr>
              <w:t>.</w:t>
            </w:r>
          </w:p>
          <w:p w14:paraId="12D8D6F3" w14:textId="77777777" w:rsidR="00160FD7"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p>
          <w:p w14:paraId="23BAF2D5" w14:textId="77777777" w:rsidR="00160FD7"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953F03">
              <w:rPr>
                <w:rFonts w:ascii="MuseoSans-300" w:hAnsi="MuseoSans-300"/>
                <w:b/>
                <w:color w:val="000000"/>
                <w:sz w:val="18"/>
                <w:szCs w:val="18"/>
              </w:rPr>
              <w:t>ROU assets</w:t>
            </w:r>
            <w:r>
              <w:rPr>
                <w:rFonts w:ascii="MuseoSans-300" w:hAnsi="MuseoSans-300"/>
                <w:color w:val="000000"/>
                <w:sz w:val="18"/>
                <w:szCs w:val="18"/>
              </w:rPr>
              <w:t xml:space="preserve"> - </w:t>
            </w:r>
            <w:r w:rsidRPr="00953F03">
              <w:rPr>
                <w:rFonts w:ascii="MuseoSans-300" w:hAnsi="MuseoSans-300"/>
                <w:color w:val="000000"/>
                <w:sz w:val="18"/>
                <w:szCs w:val="18"/>
              </w:rPr>
              <w:t>Present</w:t>
            </w:r>
            <w:r>
              <w:rPr>
                <w:rFonts w:ascii="MuseoSans-300" w:hAnsi="MuseoSans-300"/>
                <w:color w:val="000000"/>
                <w:sz w:val="18"/>
                <w:szCs w:val="18"/>
              </w:rPr>
              <w:t>ed</w:t>
            </w:r>
            <w:r w:rsidRPr="00953F03">
              <w:rPr>
                <w:rFonts w:ascii="MuseoSans-300" w:hAnsi="MuseoSans-300"/>
                <w:color w:val="000000"/>
                <w:sz w:val="18"/>
                <w:szCs w:val="18"/>
              </w:rPr>
              <w:t xml:space="preserve"> in separate line item, or within another line item, </w:t>
            </w:r>
            <w:r w:rsidRPr="006B48B5">
              <w:rPr>
                <w:rFonts w:ascii="MuseoSans-300" w:hAnsi="MuseoSans-300"/>
                <w:color w:val="000000"/>
                <w:sz w:val="18"/>
                <w:szCs w:val="18"/>
                <w:u w:val="single"/>
              </w:rPr>
              <w:t>separate from where finance lease ROU assets</w:t>
            </w:r>
            <w:r w:rsidRPr="00953F03">
              <w:rPr>
                <w:rFonts w:ascii="MuseoSans-300" w:hAnsi="MuseoSans-300"/>
                <w:color w:val="000000"/>
                <w:sz w:val="18"/>
                <w:szCs w:val="18"/>
              </w:rPr>
              <w:t xml:space="preserve"> are presented.</w:t>
            </w:r>
          </w:p>
          <w:p w14:paraId="5602A4F4" w14:textId="77777777" w:rsidR="00160FD7"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p>
          <w:p w14:paraId="3E7EFABC" w14:textId="77777777" w:rsidR="00160FD7" w:rsidRPr="00C07CE7"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953F03">
              <w:rPr>
                <w:rFonts w:ascii="MuseoSans-300" w:hAnsi="MuseoSans-300"/>
                <w:b/>
                <w:color w:val="000000"/>
                <w:sz w:val="18"/>
                <w:szCs w:val="18"/>
              </w:rPr>
              <w:t>Lease liabilities</w:t>
            </w:r>
            <w:r>
              <w:rPr>
                <w:rFonts w:ascii="MuseoSans-300" w:hAnsi="MuseoSans-300"/>
                <w:color w:val="000000"/>
                <w:sz w:val="18"/>
                <w:szCs w:val="18"/>
              </w:rPr>
              <w:t xml:space="preserve"> – Presented in separate line item, or within another line item, </w:t>
            </w:r>
            <w:r w:rsidRPr="006B48B5">
              <w:rPr>
                <w:rFonts w:ascii="MuseoSans-300" w:hAnsi="MuseoSans-300"/>
                <w:color w:val="000000"/>
                <w:sz w:val="18"/>
                <w:szCs w:val="18"/>
                <w:u w:val="single"/>
              </w:rPr>
              <w:t>separate from where finance lease liabilities</w:t>
            </w:r>
            <w:r>
              <w:rPr>
                <w:rFonts w:ascii="MuseoSans-300" w:hAnsi="MuseoSans-300"/>
                <w:color w:val="000000"/>
                <w:sz w:val="18"/>
                <w:szCs w:val="18"/>
              </w:rPr>
              <w:t xml:space="preserve"> are presented.</w:t>
            </w:r>
          </w:p>
        </w:tc>
      </w:tr>
      <w:tr w:rsidR="00160FD7" w:rsidRPr="00C07CE7" w14:paraId="72533C56" w14:textId="77777777" w:rsidTr="00B5048D">
        <w:tc>
          <w:tcPr>
            <w:cnfStyle w:val="001000000000" w:firstRow="0" w:lastRow="0" w:firstColumn="1" w:lastColumn="0" w:oddVBand="0" w:evenVBand="0" w:oddHBand="0" w:evenHBand="0" w:firstRowFirstColumn="0" w:firstRowLastColumn="0" w:lastRowFirstColumn="0" w:lastRowLastColumn="0"/>
            <w:tcW w:w="1260" w:type="dxa"/>
            <w:hideMark/>
          </w:tcPr>
          <w:p w14:paraId="646F7BEA" w14:textId="77777777" w:rsidR="00160FD7" w:rsidRPr="00963540" w:rsidRDefault="00160FD7" w:rsidP="0002478A">
            <w:pPr>
              <w:rPr>
                <w:sz w:val="18"/>
                <w:szCs w:val="18"/>
              </w:rPr>
            </w:pPr>
            <w:r w:rsidRPr="00963540">
              <w:rPr>
                <w:rFonts w:ascii="MuseoSans-300" w:hAnsi="MuseoSans-300"/>
                <w:color w:val="000000"/>
                <w:sz w:val="18"/>
                <w:szCs w:val="18"/>
              </w:rPr>
              <w:t>Income</w:t>
            </w:r>
            <w:r w:rsidRPr="00963540">
              <w:rPr>
                <w:rFonts w:ascii="MuseoSans-300" w:hAnsi="MuseoSans-300"/>
                <w:color w:val="000000"/>
                <w:sz w:val="18"/>
                <w:szCs w:val="18"/>
              </w:rPr>
              <w:br/>
              <w:t>Statement</w:t>
            </w:r>
          </w:p>
        </w:tc>
        <w:tc>
          <w:tcPr>
            <w:tcW w:w="3960" w:type="dxa"/>
            <w:hideMark/>
          </w:tcPr>
          <w:p w14:paraId="23F1A1DE" w14:textId="77777777" w:rsidR="00160FD7" w:rsidRPr="00963540" w:rsidRDefault="00160FD7" w:rsidP="0002478A">
            <w:pPr>
              <w:cnfStyle w:val="000000000000" w:firstRow="0" w:lastRow="0" w:firstColumn="0" w:lastColumn="0" w:oddVBand="0" w:evenVBand="0" w:oddHBand="0" w:evenHBand="0" w:firstRowFirstColumn="0" w:firstRowLastColumn="0" w:lastRowFirstColumn="0" w:lastRowLastColumn="0"/>
              <w:rPr>
                <w:rFonts w:ascii="MuseoSans-300" w:hAnsi="MuseoSans-300"/>
                <w:color w:val="000000"/>
                <w:sz w:val="18"/>
                <w:szCs w:val="18"/>
              </w:rPr>
            </w:pPr>
            <w:r w:rsidRPr="00963540">
              <w:rPr>
                <w:rFonts w:ascii="MuseoSans-300" w:hAnsi="MuseoSans-300"/>
                <w:color w:val="000000"/>
                <w:sz w:val="18"/>
                <w:szCs w:val="18"/>
              </w:rPr>
              <w:t xml:space="preserve">Recognize the interest expense on the lease liability and amortization of the right-of-use asset. </w:t>
            </w:r>
          </w:p>
          <w:p w14:paraId="07DB7DAB" w14:textId="77777777" w:rsidR="00160FD7" w:rsidRPr="00963540" w:rsidRDefault="00160FD7" w:rsidP="0002478A">
            <w:pPr>
              <w:cnfStyle w:val="000000000000" w:firstRow="0" w:lastRow="0" w:firstColumn="0" w:lastColumn="0" w:oddVBand="0" w:evenVBand="0" w:oddHBand="0" w:evenHBand="0" w:firstRowFirstColumn="0" w:firstRowLastColumn="0" w:lastRowFirstColumn="0" w:lastRowLastColumn="0"/>
              <w:rPr>
                <w:rFonts w:ascii="MuseoSans-300" w:hAnsi="MuseoSans-300"/>
                <w:color w:val="000000"/>
                <w:sz w:val="18"/>
                <w:szCs w:val="18"/>
              </w:rPr>
            </w:pPr>
          </w:p>
          <w:p w14:paraId="0A70CF8F" w14:textId="77777777" w:rsidR="00160FD7" w:rsidRPr="00963540" w:rsidRDefault="00160FD7" w:rsidP="0002478A">
            <w:pPr>
              <w:cnfStyle w:val="000000000000" w:firstRow="0" w:lastRow="0" w:firstColumn="0" w:lastColumn="0" w:oddVBand="0" w:evenVBand="0" w:oddHBand="0" w:evenHBand="0" w:firstRowFirstColumn="0" w:firstRowLastColumn="0" w:lastRowFirstColumn="0" w:lastRowLastColumn="0"/>
              <w:rPr>
                <w:sz w:val="18"/>
                <w:szCs w:val="18"/>
              </w:rPr>
            </w:pPr>
            <w:r w:rsidRPr="00963540">
              <w:rPr>
                <w:rFonts w:ascii="MuseoSans-300" w:hAnsi="MuseoSans-300"/>
                <w:color w:val="000000"/>
                <w:sz w:val="18"/>
                <w:szCs w:val="18"/>
              </w:rPr>
              <w:t xml:space="preserve">These amounts are not required to be presented as separate line items and should be presented in a manner consistent with how the entity presents other interest </w:t>
            </w:r>
            <w:proofErr w:type="gramStart"/>
            <w:r w:rsidRPr="00963540">
              <w:rPr>
                <w:rFonts w:ascii="MuseoSans-300" w:hAnsi="MuseoSans-300"/>
                <w:color w:val="000000"/>
                <w:sz w:val="18"/>
                <w:szCs w:val="18"/>
              </w:rPr>
              <w:t>expense</w:t>
            </w:r>
            <w:proofErr w:type="gramEnd"/>
            <w:r w:rsidRPr="00963540">
              <w:rPr>
                <w:rFonts w:ascii="MuseoSans-300" w:hAnsi="MuseoSans-300"/>
                <w:color w:val="000000"/>
                <w:sz w:val="18"/>
                <w:szCs w:val="18"/>
              </w:rPr>
              <w:t xml:space="preserve"> and depreciation or amortization of similar assets, respectively.</w:t>
            </w:r>
          </w:p>
        </w:tc>
        <w:tc>
          <w:tcPr>
            <w:tcW w:w="3960" w:type="dxa"/>
          </w:tcPr>
          <w:p w14:paraId="24D74A89" w14:textId="77777777" w:rsidR="00160FD7" w:rsidRPr="00C07CE7" w:rsidRDefault="00160FD7" w:rsidP="0002478A">
            <w:pPr>
              <w:cnfStyle w:val="000000000000" w:firstRow="0" w:lastRow="0" w:firstColumn="0" w:lastColumn="0" w:oddVBand="0" w:evenVBand="0" w:oddHBand="0" w:evenHBand="0" w:firstRowFirstColumn="0" w:firstRowLastColumn="0" w:lastRowFirstColumn="0" w:lastRowLastColumn="0"/>
              <w:rPr>
                <w:rFonts w:ascii="MuseoSans-300" w:hAnsi="MuseoSans-300"/>
                <w:color w:val="000000"/>
                <w:sz w:val="18"/>
                <w:szCs w:val="18"/>
              </w:rPr>
            </w:pPr>
            <w:r w:rsidRPr="00C07CE7">
              <w:rPr>
                <w:rFonts w:ascii="MuseoSans-300" w:hAnsi="MuseoSans-300"/>
                <w:color w:val="000000"/>
                <w:sz w:val="18"/>
                <w:szCs w:val="18"/>
              </w:rPr>
              <w:t>Recognize a single lease cost, calculated so that</w:t>
            </w:r>
            <w:r w:rsidRPr="00C07CE7">
              <w:rPr>
                <w:rFonts w:ascii="MuseoSans-300" w:hAnsi="MuseoSans-300"/>
                <w:color w:val="000000"/>
                <w:sz w:val="18"/>
                <w:szCs w:val="18"/>
              </w:rPr>
              <w:br/>
              <w:t>the cost of the lease is allocated over the lease</w:t>
            </w:r>
            <w:r w:rsidRPr="00C07CE7">
              <w:rPr>
                <w:rFonts w:ascii="MuseoSans-300" w:hAnsi="MuseoSans-300"/>
                <w:color w:val="000000"/>
                <w:sz w:val="18"/>
                <w:szCs w:val="18"/>
              </w:rPr>
              <w:br/>
              <w:t>term on a generally straight-line basis. This lease</w:t>
            </w:r>
            <w:r>
              <w:rPr>
                <w:rFonts w:ascii="MuseoSans-300" w:hAnsi="MuseoSans-300"/>
                <w:color w:val="000000"/>
                <w:sz w:val="18"/>
                <w:szCs w:val="18"/>
              </w:rPr>
              <w:t xml:space="preserve"> expense is reported i</w:t>
            </w:r>
            <w:r w:rsidRPr="00C07CE7">
              <w:rPr>
                <w:rFonts w:ascii="MuseoSans-300" w:hAnsi="MuseoSans-300"/>
                <w:color w:val="000000"/>
                <w:sz w:val="18"/>
                <w:szCs w:val="18"/>
              </w:rPr>
              <w:t>n the lessee’s income</w:t>
            </w:r>
            <w:r w:rsidRPr="00C07CE7">
              <w:rPr>
                <w:rFonts w:ascii="MuseoSans-300" w:hAnsi="MuseoSans-300"/>
                <w:color w:val="000000"/>
                <w:sz w:val="18"/>
                <w:szCs w:val="18"/>
              </w:rPr>
              <w:br/>
              <w:t>from continuing operations.</w:t>
            </w:r>
          </w:p>
        </w:tc>
      </w:tr>
      <w:tr w:rsidR="00160FD7" w:rsidRPr="00C07CE7" w14:paraId="53FFBB12" w14:textId="77777777" w:rsidTr="00B5048D">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60" w:type="dxa"/>
            <w:hideMark/>
          </w:tcPr>
          <w:p w14:paraId="7E3EB5E3" w14:textId="77777777" w:rsidR="00160FD7" w:rsidRPr="00963540" w:rsidRDefault="00160FD7" w:rsidP="0002478A">
            <w:pPr>
              <w:rPr>
                <w:sz w:val="18"/>
                <w:szCs w:val="18"/>
              </w:rPr>
            </w:pPr>
            <w:r w:rsidRPr="00963540">
              <w:rPr>
                <w:rFonts w:ascii="MuseoSans-300" w:hAnsi="MuseoSans-300"/>
                <w:color w:val="000000"/>
                <w:sz w:val="18"/>
                <w:szCs w:val="18"/>
              </w:rPr>
              <w:t>Statement of</w:t>
            </w:r>
            <w:r w:rsidRPr="00963540">
              <w:rPr>
                <w:rFonts w:ascii="MuseoSans-300" w:hAnsi="MuseoSans-300"/>
                <w:color w:val="000000"/>
                <w:sz w:val="18"/>
                <w:szCs w:val="18"/>
              </w:rPr>
              <w:br/>
              <w:t>Cash Flows</w:t>
            </w:r>
          </w:p>
        </w:tc>
        <w:tc>
          <w:tcPr>
            <w:tcW w:w="3960" w:type="dxa"/>
            <w:hideMark/>
          </w:tcPr>
          <w:p w14:paraId="46D4AF0A"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sz w:val="18"/>
                <w:szCs w:val="18"/>
              </w:rPr>
            </w:pPr>
            <w:r w:rsidRPr="00963540">
              <w:rPr>
                <w:rFonts w:ascii="MuseoSans-300" w:hAnsi="MuseoSans-300"/>
                <w:color w:val="000000"/>
                <w:sz w:val="18"/>
                <w:szCs w:val="18"/>
              </w:rPr>
              <w:t xml:space="preserve">Classify repayments of the principal portion of the lease liability within financing activities </w:t>
            </w:r>
          </w:p>
          <w:p w14:paraId="684BE9EC"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p>
          <w:p w14:paraId="4359F407" w14:textId="77777777" w:rsidR="00160FD7" w:rsidRPr="00963540" w:rsidRDefault="00160FD7" w:rsidP="0002478A">
            <w:pPr>
              <w:cnfStyle w:val="000000100000" w:firstRow="0" w:lastRow="0" w:firstColumn="0" w:lastColumn="0" w:oddVBand="0" w:evenVBand="0" w:oddHBand="1" w:evenHBand="0" w:firstRowFirstColumn="0" w:firstRowLastColumn="0" w:lastRowFirstColumn="0" w:lastRowLastColumn="0"/>
              <w:rPr>
                <w:sz w:val="18"/>
                <w:szCs w:val="18"/>
              </w:rPr>
            </w:pPr>
            <w:r w:rsidRPr="00963540">
              <w:rPr>
                <w:rFonts w:ascii="MuseoSans-300" w:hAnsi="MuseoSans-300"/>
                <w:color w:val="000000"/>
                <w:sz w:val="18"/>
                <w:szCs w:val="18"/>
              </w:rPr>
              <w:t>Classify payments of interest on the lease liability and variable lease payments within operating activities.</w:t>
            </w:r>
          </w:p>
        </w:tc>
        <w:tc>
          <w:tcPr>
            <w:tcW w:w="3960" w:type="dxa"/>
          </w:tcPr>
          <w:p w14:paraId="6CF37C98" w14:textId="77777777" w:rsidR="00160FD7" w:rsidRPr="00C07CE7" w:rsidRDefault="00160FD7" w:rsidP="0002478A">
            <w:pPr>
              <w:cnfStyle w:val="000000100000" w:firstRow="0" w:lastRow="0" w:firstColumn="0" w:lastColumn="0" w:oddVBand="0" w:evenVBand="0" w:oddHBand="1" w:evenHBand="0" w:firstRowFirstColumn="0" w:firstRowLastColumn="0" w:lastRowFirstColumn="0" w:lastRowLastColumn="0"/>
              <w:rPr>
                <w:rFonts w:ascii="MuseoSans-300" w:hAnsi="MuseoSans-300"/>
                <w:color w:val="000000"/>
                <w:sz w:val="18"/>
                <w:szCs w:val="18"/>
              </w:rPr>
            </w:pPr>
            <w:r w:rsidRPr="00C07CE7">
              <w:rPr>
                <w:rFonts w:ascii="MuseoSans-300" w:hAnsi="MuseoSans-300"/>
                <w:color w:val="000000"/>
                <w:sz w:val="18"/>
                <w:szCs w:val="18"/>
              </w:rPr>
              <w:t>Classify all cash payments within operating</w:t>
            </w:r>
            <w:r w:rsidRPr="00C07CE7">
              <w:rPr>
                <w:rFonts w:ascii="MuseoSans-300" w:hAnsi="MuseoSans-300"/>
                <w:color w:val="000000"/>
                <w:sz w:val="18"/>
                <w:szCs w:val="18"/>
              </w:rPr>
              <w:br/>
              <w:t>activities.</w:t>
            </w:r>
          </w:p>
        </w:tc>
      </w:tr>
    </w:tbl>
    <w:p w14:paraId="2DAE02FE" w14:textId="07B58A91" w:rsidR="00D76534" w:rsidRDefault="00D76534" w:rsidP="000752C0">
      <w:pPr>
        <w:pStyle w:val="ListParagraph"/>
        <w:spacing w:line="0" w:lineRule="atLeast"/>
        <w:ind w:left="360"/>
        <w:contextualSpacing/>
        <w:jc w:val="both"/>
        <w:rPr>
          <w:rFonts w:ascii="Arial" w:hAnsi="Arial" w:cs="Arial"/>
          <w:sz w:val="20"/>
        </w:rPr>
      </w:pPr>
    </w:p>
    <w:p w14:paraId="7878695E" w14:textId="77777777" w:rsidR="005F2DC3" w:rsidRDefault="005F2DC3" w:rsidP="000752C0">
      <w:pPr>
        <w:pStyle w:val="ListParagraph"/>
        <w:spacing w:line="0" w:lineRule="atLeast"/>
        <w:ind w:left="360"/>
        <w:contextualSpacing/>
        <w:jc w:val="both"/>
        <w:rPr>
          <w:rFonts w:ascii="Arial" w:hAnsi="Arial" w:cs="Arial"/>
          <w:sz w:val="20"/>
        </w:rPr>
      </w:pPr>
    </w:p>
    <w:p w14:paraId="048B2182" w14:textId="68506843" w:rsidR="005F2DC3" w:rsidRPr="00C34844" w:rsidRDefault="005F2DC3" w:rsidP="005F2DC3">
      <w:pPr>
        <w:pStyle w:val="ListParagraph"/>
        <w:spacing w:line="0" w:lineRule="atLeast"/>
        <w:ind w:left="360"/>
        <w:contextualSpacing/>
        <w:jc w:val="both"/>
        <w:rPr>
          <w:rFonts w:ascii="Century Gothic" w:hAnsi="Century Gothic" w:cs="Arial"/>
          <w:b/>
          <w:sz w:val="20"/>
        </w:rPr>
      </w:pPr>
      <w:r>
        <w:rPr>
          <w:rFonts w:ascii="Century Gothic" w:hAnsi="Century Gothic" w:cs="Arial"/>
          <w:b/>
          <w:sz w:val="20"/>
        </w:rPr>
        <w:t>12.3 Impairment</w:t>
      </w:r>
      <w:r w:rsidR="00656542">
        <w:rPr>
          <w:rFonts w:ascii="Century Gothic" w:hAnsi="Century Gothic" w:cs="Arial"/>
          <w:b/>
          <w:sz w:val="20"/>
        </w:rPr>
        <w:t xml:space="preserve"> of ROU assets</w:t>
      </w:r>
    </w:p>
    <w:p w14:paraId="1740336D" w14:textId="72B897A4" w:rsidR="005F2DC3" w:rsidRDefault="00D06E44" w:rsidP="000752C0">
      <w:pPr>
        <w:pStyle w:val="ListParagraph"/>
        <w:spacing w:line="0" w:lineRule="atLeast"/>
        <w:ind w:left="360"/>
        <w:contextualSpacing/>
        <w:jc w:val="both"/>
        <w:rPr>
          <w:rFonts w:ascii="Arial" w:hAnsi="Arial" w:cs="Arial"/>
          <w:sz w:val="20"/>
        </w:rPr>
      </w:pPr>
      <w:r>
        <w:rPr>
          <w:rFonts w:ascii="Arial" w:hAnsi="Arial" w:cs="Arial"/>
          <w:sz w:val="20"/>
        </w:rPr>
        <w:t xml:space="preserve">Accounting for impairment </w:t>
      </w:r>
      <w:r w:rsidR="009F6BF9">
        <w:rPr>
          <w:rFonts w:ascii="Arial" w:hAnsi="Arial" w:cs="Arial"/>
          <w:sz w:val="20"/>
        </w:rPr>
        <w:t xml:space="preserve">of </w:t>
      </w:r>
      <w:r w:rsidR="00656542">
        <w:rPr>
          <w:rFonts w:ascii="Arial" w:hAnsi="Arial" w:cs="Arial"/>
          <w:sz w:val="20"/>
        </w:rPr>
        <w:t xml:space="preserve">ROU assets </w:t>
      </w:r>
      <w:r>
        <w:rPr>
          <w:rFonts w:ascii="Arial" w:hAnsi="Arial" w:cs="Arial"/>
          <w:sz w:val="20"/>
        </w:rPr>
        <w:t>is governed by ASC 360-10 (</w:t>
      </w:r>
      <w:r w:rsidR="009F6BF9">
        <w:rPr>
          <w:rFonts w:ascii="Arial" w:hAnsi="Arial" w:cs="Arial"/>
          <w:sz w:val="20"/>
        </w:rPr>
        <w:t xml:space="preserve">Property, Plant and Equipment) </w:t>
      </w:r>
      <w:r w:rsidRPr="009D7A9F">
        <w:rPr>
          <w:rFonts w:ascii="Arial" w:hAnsi="Arial" w:cs="Arial"/>
          <w:i/>
          <w:iCs/>
          <w:sz w:val="20"/>
        </w:rPr>
        <w:t xml:space="preserve">Refer to subsection 11.10 Impairment of long-lived assets held and used for </w:t>
      </w:r>
      <w:r w:rsidR="009F6BF9" w:rsidRPr="009D7A9F">
        <w:rPr>
          <w:rFonts w:ascii="Arial" w:hAnsi="Arial" w:cs="Arial"/>
          <w:i/>
          <w:iCs/>
          <w:sz w:val="20"/>
        </w:rPr>
        <w:t>further discussion</w:t>
      </w:r>
      <w:r w:rsidR="009F6BF9">
        <w:rPr>
          <w:rFonts w:ascii="Arial" w:hAnsi="Arial" w:cs="Arial"/>
          <w:sz w:val="20"/>
        </w:rPr>
        <w:t>.</w:t>
      </w:r>
      <w:r>
        <w:rPr>
          <w:rFonts w:ascii="Arial" w:hAnsi="Arial" w:cs="Arial"/>
          <w:sz w:val="20"/>
        </w:rPr>
        <w:t xml:space="preserve"> </w:t>
      </w:r>
    </w:p>
    <w:p w14:paraId="7E4AC09D" w14:textId="77777777" w:rsidR="005F2DC3" w:rsidRDefault="005F2DC3" w:rsidP="000752C0">
      <w:pPr>
        <w:pStyle w:val="ListParagraph"/>
        <w:spacing w:line="0" w:lineRule="atLeast"/>
        <w:ind w:left="360"/>
        <w:contextualSpacing/>
        <w:jc w:val="both"/>
        <w:rPr>
          <w:rFonts w:ascii="Arial" w:hAnsi="Arial" w:cs="Arial"/>
          <w:sz w:val="20"/>
        </w:rPr>
      </w:pPr>
    </w:p>
    <w:p w14:paraId="5277B0F8" w14:textId="7AABA50E" w:rsidR="00143FE5" w:rsidRPr="002744D2" w:rsidRDefault="00143FE5" w:rsidP="00FC279A">
      <w:pPr>
        <w:pStyle w:val="ListParagraph"/>
        <w:spacing w:line="0" w:lineRule="atLeast"/>
        <w:ind w:left="360"/>
        <w:contextualSpacing/>
        <w:jc w:val="both"/>
        <w:rPr>
          <w:rFonts w:ascii="Arial" w:hAnsi="Arial" w:cs="Arial"/>
          <w:i/>
          <w:sz w:val="20"/>
          <w:u w:val="single"/>
        </w:rPr>
      </w:pPr>
      <w:r w:rsidRPr="002744D2">
        <w:rPr>
          <w:rFonts w:ascii="Arial" w:hAnsi="Arial" w:cs="Arial"/>
          <w:i/>
          <w:sz w:val="20"/>
          <w:u w:val="single"/>
        </w:rPr>
        <w:t xml:space="preserve">Refer to the separate </w:t>
      </w:r>
      <w:r w:rsidRPr="002744D2">
        <w:rPr>
          <w:rFonts w:ascii="Arial" w:hAnsi="Arial" w:cs="Arial"/>
          <w:b/>
          <w:i/>
          <w:sz w:val="20"/>
          <w:u w:val="single"/>
        </w:rPr>
        <w:t xml:space="preserve">Bioventus Global </w:t>
      </w:r>
      <w:r>
        <w:rPr>
          <w:rFonts w:ascii="Arial" w:hAnsi="Arial" w:cs="Arial"/>
          <w:b/>
          <w:i/>
          <w:sz w:val="20"/>
          <w:u w:val="single"/>
        </w:rPr>
        <w:t>Lease</w:t>
      </w:r>
      <w:r w:rsidRPr="002744D2">
        <w:rPr>
          <w:rFonts w:ascii="Arial" w:hAnsi="Arial" w:cs="Arial"/>
          <w:b/>
          <w:i/>
          <w:sz w:val="20"/>
          <w:u w:val="single"/>
        </w:rPr>
        <w:t xml:space="preserve"> </w:t>
      </w:r>
      <w:r>
        <w:rPr>
          <w:rFonts w:ascii="Arial" w:hAnsi="Arial" w:cs="Arial"/>
          <w:b/>
          <w:i/>
          <w:sz w:val="20"/>
          <w:u w:val="single"/>
        </w:rPr>
        <w:t>Accounting</w:t>
      </w:r>
      <w:r w:rsidRPr="002744D2">
        <w:rPr>
          <w:rFonts w:ascii="Arial" w:hAnsi="Arial" w:cs="Arial"/>
          <w:b/>
          <w:i/>
          <w:sz w:val="20"/>
          <w:u w:val="single"/>
        </w:rPr>
        <w:t xml:space="preserve"> Policy</w:t>
      </w:r>
      <w:r w:rsidRPr="002744D2">
        <w:rPr>
          <w:rFonts w:ascii="Arial" w:hAnsi="Arial" w:cs="Arial"/>
          <w:i/>
          <w:sz w:val="20"/>
          <w:u w:val="single"/>
        </w:rPr>
        <w:t xml:space="preserve"> on </w:t>
      </w:r>
      <w:proofErr w:type="spellStart"/>
      <w:r w:rsidRPr="002744D2">
        <w:rPr>
          <w:rFonts w:ascii="Arial" w:hAnsi="Arial" w:cs="Arial"/>
          <w:i/>
          <w:sz w:val="20"/>
          <w:u w:val="single"/>
        </w:rPr>
        <w:t>Bionet</w:t>
      </w:r>
      <w:proofErr w:type="spellEnd"/>
      <w:r>
        <w:rPr>
          <w:rFonts w:ascii="Arial" w:hAnsi="Arial" w:cs="Arial"/>
          <w:i/>
          <w:sz w:val="20"/>
          <w:u w:val="single"/>
        </w:rPr>
        <w:t xml:space="preserve"> for further details.</w:t>
      </w:r>
    </w:p>
    <w:p w14:paraId="20304307" w14:textId="77777777" w:rsidR="00D76534" w:rsidRDefault="00D76534" w:rsidP="00FC279A">
      <w:pPr>
        <w:pStyle w:val="ListParagraph"/>
        <w:spacing w:line="0" w:lineRule="atLeast"/>
        <w:ind w:left="360"/>
        <w:contextualSpacing/>
        <w:jc w:val="both"/>
        <w:rPr>
          <w:rFonts w:ascii="Arial" w:hAnsi="Arial" w:cs="Arial"/>
          <w:sz w:val="20"/>
        </w:rPr>
      </w:pPr>
    </w:p>
    <w:p w14:paraId="1F9E122A" w14:textId="77777777" w:rsidR="00DF7DFD" w:rsidRDefault="00F62BB8" w:rsidP="00C96CD5">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57" w:name="p123"/>
      <w:bookmarkStart w:id="58" w:name="pwc-arm4650.123"/>
      <w:bookmarkStart w:id="59" w:name="_Goodwill"/>
      <w:bookmarkEnd w:id="57"/>
      <w:bookmarkEnd w:id="58"/>
      <w:bookmarkEnd w:id="59"/>
      <w:r>
        <w:rPr>
          <w:rFonts w:ascii="Century Gothic" w:hAnsi="Century Gothic" w:cs="Arial"/>
          <w:bCs w:val="0"/>
          <w:sz w:val="20"/>
        </w:rPr>
        <w:t>Goodwill</w:t>
      </w:r>
    </w:p>
    <w:p w14:paraId="0E2BA1C3" w14:textId="24EE5EF5" w:rsidR="00DF7DFD" w:rsidRPr="001364AD"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 xml:space="preserve">Goodwill is initially recorded as indicated in the Business Combination section.  </w:t>
      </w:r>
      <w:r w:rsidR="00D5021A">
        <w:rPr>
          <w:rFonts w:ascii="Arial" w:hAnsi="Arial" w:cs="Arial"/>
          <w:sz w:val="20"/>
        </w:rPr>
        <w:t xml:space="preserve">The </w:t>
      </w:r>
      <w:r w:rsidR="00D5021A" w:rsidRPr="00653608">
        <w:rPr>
          <w:rFonts w:ascii="Arial" w:hAnsi="Arial" w:cs="Arial"/>
          <w:sz w:val="20"/>
        </w:rPr>
        <w:t>D</w:t>
      </w:r>
      <w:r w:rsidR="00437244" w:rsidRPr="00653608">
        <w:rPr>
          <w:rFonts w:ascii="Arial" w:hAnsi="Arial" w:cs="Arial"/>
          <w:sz w:val="20"/>
        </w:rPr>
        <w:t>ir, TA</w:t>
      </w:r>
      <w:r w:rsidRPr="00653608">
        <w:rPr>
          <w:rFonts w:ascii="Arial" w:hAnsi="Arial" w:cs="Arial"/>
          <w:sz w:val="20"/>
        </w:rPr>
        <w:t xml:space="preserve"> is</w:t>
      </w:r>
      <w:r>
        <w:rPr>
          <w:rFonts w:ascii="Arial" w:hAnsi="Arial" w:cs="Arial"/>
          <w:sz w:val="20"/>
        </w:rPr>
        <w:t xml:space="preserve"> responsible for ensuring that goodwill is tested for impairment at the reporting unit level annually as of October 31</w:t>
      </w:r>
      <w:r>
        <w:rPr>
          <w:rFonts w:ascii="Arial" w:hAnsi="Arial" w:cs="Arial"/>
          <w:sz w:val="20"/>
          <w:vertAlign w:val="superscript"/>
        </w:rPr>
        <w:t>st</w:t>
      </w:r>
      <w:r>
        <w:rPr>
          <w:rFonts w:ascii="Arial" w:hAnsi="Arial" w:cs="Arial"/>
          <w:sz w:val="20"/>
        </w:rPr>
        <w:t xml:space="preserve"> or more frequently if indicators of impairment exist.</w:t>
      </w:r>
      <w:r w:rsidR="00876685">
        <w:rPr>
          <w:rFonts w:ascii="Arial" w:hAnsi="Arial" w:cs="Arial"/>
          <w:sz w:val="20"/>
        </w:rPr>
        <w:t xml:space="preserve"> </w:t>
      </w:r>
      <w:r w:rsidR="00D5021A" w:rsidRPr="00D5021A">
        <w:rPr>
          <w:rFonts w:ascii="Arial" w:hAnsi="Arial" w:cs="Arial"/>
          <w:sz w:val="20"/>
        </w:rPr>
        <w:t xml:space="preserve">The Company reviews goodwill for impairment by applying a quantitative impairment analysis where the fair value of the reporting unit is compared with the carrying value (including goodwill). The Company </w:t>
      </w:r>
      <w:r w:rsidR="00D5021A">
        <w:rPr>
          <w:rFonts w:ascii="Arial" w:hAnsi="Arial" w:cs="Arial"/>
          <w:sz w:val="20"/>
        </w:rPr>
        <w:t>engages a third-party valuation firm</w:t>
      </w:r>
      <w:r w:rsidR="00876685">
        <w:rPr>
          <w:rFonts w:ascii="Arial" w:hAnsi="Arial" w:cs="Arial"/>
          <w:sz w:val="20"/>
        </w:rPr>
        <w:t xml:space="preserve"> </w:t>
      </w:r>
      <w:r w:rsidR="00D5021A">
        <w:rPr>
          <w:rFonts w:ascii="Arial" w:hAnsi="Arial" w:cs="Arial"/>
          <w:sz w:val="20"/>
        </w:rPr>
        <w:t>to</w:t>
      </w:r>
      <w:r w:rsidR="00D5021A" w:rsidRPr="00D5021A">
        <w:rPr>
          <w:rFonts w:ascii="Arial" w:hAnsi="Arial" w:cs="Arial"/>
          <w:sz w:val="20"/>
        </w:rPr>
        <w:t xml:space="preserve"> </w:t>
      </w:r>
      <w:r w:rsidR="00AE4DC0">
        <w:rPr>
          <w:rFonts w:ascii="Arial" w:hAnsi="Arial" w:cs="Arial"/>
          <w:sz w:val="20"/>
        </w:rPr>
        <w:t xml:space="preserve">assist in </w:t>
      </w:r>
      <w:r w:rsidR="00D5021A" w:rsidRPr="00D5021A">
        <w:rPr>
          <w:rFonts w:ascii="Arial" w:hAnsi="Arial" w:cs="Arial"/>
          <w:sz w:val="20"/>
        </w:rPr>
        <w:t>determin</w:t>
      </w:r>
      <w:r w:rsidR="00AE4DC0">
        <w:rPr>
          <w:rFonts w:ascii="Arial" w:hAnsi="Arial" w:cs="Arial"/>
          <w:sz w:val="20"/>
        </w:rPr>
        <w:t>ing</w:t>
      </w:r>
      <w:r w:rsidR="00D5021A" w:rsidRPr="00D5021A">
        <w:rPr>
          <w:rFonts w:ascii="Arial" w:hAnsi="Arial" w:cs="Arial"/>
          <w:sz w:val="20"/>
        </w:rPr>
        <w:t xml:space="preserve"> the fair value of each reporting unit based on an income approach. The value of each reporting unit is determined on a stand-alone basis from the perspective of a market participant and represents the price estimated to be received in </w:t>
      </w:r>
      <w:proofErr w:type="gramStart"/>
      <w:r w:rsidR="00D5021A" w:rsidRPr="00D5021A">
        <w:rPr>
          <w:rFonts w:ascii="Arial" w:hAnsi="Arial" w:cs="Arial"/>
          <w:sz w:val="20"/>
        </w:rPr>
        <w:t>a sale</w:t>
      </w:r>
      <w:proofErr w:type="gramEnd"/>
      <w:r w:rsidR="00D5021A" w:rsidRPr="00D5021A">
        <w:rPr>
          <w:rFonts w:ascii="Arial" w:hAnsi="Arial" w:cs="Arial"/>
          <w:sz w:val="20"/>
        </w:rPr>
        <w:t xml:space="preserve"> of the reporting unit in an orderly transaction between market participants at the measurement date. If the fair value of the reporting unit is less than </w:t>
      </w:r>
      <w:proofErr w:type="gramStart"/>
      <w:r w:rsidR="00D5021A" w:rsidRPr="00D5021A">
        <w:rPr>
          <w:rFonts w:ascii="Arial" w:hAnsi="Arial" w:cs="Arial"/>
          <w:sz w:val="20"/>
        </w:rPr>
        <w:t>its</w:t>
      </w:r>
      <w:proofErr w:type="gramEnd"/>
      <w:r w:rsidR="00D5021A" w:rsidRPr="00D5021A">
        <w:rPr>
          <w:rFonts w:ascii="Arial" w:hAnsi="Arial" w:cs="Arial"/>
          <w:sz w:val="20"/>
        </w:rPr>
        <w:t xml:space="preserve"> carrying value, the Company will recognize the difference as an impairment loss, which is limited to the amount of goodwill allocated to the reporting unit.</w:t>
      </w:r>
      <w:r>
        <w:rPr>
          <w:rFonts w:ascii="Arial" w:hAnsi="Arial" w:cs="Arial"/>
          <w:sz w:val="20"/>
        </w:rPr>
        <w:t xml:space="preserve"> </w:t>
      </w:r>
      <w:r w:rsidR="00710DF7" w:rsidRPr="009D7A9F">
        <w:rPr>
          <w:rFonts w:ascii="Arial" w:hAnsi="Arial" w:cs="Arial"/>
          <w:sz w:val="20"/>
        </w:rPr>
        <w:t>Impairment losses incurred in the current period will be disclosed as its own caption as a component of operating income/loss on the consolidated statements of operations.</w:t>
      </w:r>
    </w:p>
    <w:p w14:paraId="3AE97AC6" w14:textId="77777777" w:rsidR="00DF7DFD" w:rsidRDefault="00DF7DFD" w:rsidP="00DC178B">
      <w:pPr>
        <w:pStyle w:val="ListParagraph"/>
        <w:spacing w:line="0" w:lineRule="atLeast"/>
        <w:ind w:left="1020"/>
        <w:contextualSpacing/>
        <w:jc w:val="both"/>
        <w:rPr>
          <w:rFonts w:ascii="Arial" w:hAnsi="Arial" w:cs="Arial"/>
          <w:sz w:val="20"/>
        </w:rPr>
      </w:pPr>
    </w:p>
    <w:p w14:paraId="2A17DBF7" w14:textId="71FC996E" w:rsidR="00DF7DFD" w:rsidRDefault="00F62BB8" w:rsidP="00DC178B">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60" w:name="_Intangible_Assets,_other"/>
      <w:bookmarkStart w:id="61" w:name="_Toc308509446"/>
      <w:bookmarkStart w:id="62" w:name="_Toc217460905"/>
      <w:bookmarkEnd w:id="60"/>
      <w:r>
        <w:rPr>
          <w:rFonts w:ascii="Century Gothic" w:hAnsi="Century Gothic" w:cs="Arial"/>
          <w:bCs w:val="0"/>
          <w:sz w:val="20"/>
        </w:rPr>
        <w:t>Intangible Assets</w:t>
      </w:r>
      <w:bookmarkEnd w:id="61"/>
      <w:r>
        <w:rPr>
          <w:rFonts w:ascii="Century Gothic" w:hAnsi="Century Gothic" w:cs="Arial"/>
          <w:bCs w:val="0"/>
          <w:sz w:val="20"/>
        </w:rPr>
        <w:t>, other than Goodwill</w:t>
      </w:r>
      <w:r w:rsidR="00D5021A">
        <w:rPr>
          <w:rFonts w:ascii="Century Gothic" w:hAnsi="Century Gothic" w:cs="Arial"/>
          <w:bCs w:val="0"/>
          <w:sz w:val="20"/>
        </w:rPr>
        <w:t xml:space="preserve"> </w:t>
      </w:r>
    </w:p>
    <w:p w14:paraId="0E73CF34" w14:textId="77777777" w:rsidR="00802B24"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 xml:space="preserve">Intangible assets acquired from a third party should be capitalized at cost and amortized over the </w:t>
      </w:r>
      <w:proofErr w:type="gramStart"/>
      <w:r>
        <w:rPr>
          <w:rFonts w:ascii="Arial" w:hAnsi="Arial" w:cs="Arial"/>
          <w:sz w:val="20"/>
        </w:rPr>
        <w:t>shorter</w:t>
      </w:r>
      <w:proofErr w:type="gramEnd"/>
      <w:r>
        <w:rPr>
          <w:rFonts w:ascii="Arial" w:hAnsi="Arial" w:cs="Arial"/>
          <w:sz w:val="20"/>
        </w:rPr>
        <w:t xml:space="preserve"> of its useful economic life and the remaining term of the purchased right.  This will not exceed 20 years, except with the express approval of the C</w:t>
      </w:r>
      <w:r w:rsidR="00D55823">
        <w:rPr>
          <w:rFonts w:ascii="Arial" w:hAnsi="Arial" w:cs="Arial"/>
          <w:sz w:val="20"/>
        </w:rPr>
        <w:t>F</w:t>
      </w:r>
      <w:r>
        <w:rPr>
          <w:rFonts w:ascii="Arial" w:hAnsi="Arial" w:cs="Arial"/>
          <w:sz w:val="20"/>
        </w:rPr>
        <w:t xml:space="preserve">O. </w:t>
      </w:r>
    </w:p>
    <w:p w14:paraId="713B916D" w14:textId="77777777" w:rsidR="00DF7DFD" w:rsidRDefault="00DF7DFD" w:rsidP="00DC178B">
      <w:pPr>
        <w:pStyle w:val="ListParagraph"/>
        <w:spacing w:line="0" w:lineRule="atLeast"/>
        <w:ind w:left="360"/>
        <w:contextualSpacing/>
        <w:jc w:val="both"/>
        <w:rPr>
          <w:rFonts w:ascii="Arial" w:hAnsi="Arial" w:cs="Arial"/>
          <w:sz w:val="20"/>
        </w:rPr>
      </w:pPr>
    </w:p>
    <w:p w14:paraId="1546E5E1" w14:textId="12D1F263"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Cost is defined as the amount of cash or cash equivalents paid or the fair value of consideration given to acquire the intangible asset at the time of its acquisition, which generally includes the transaction costs of the asset acquisition. No gain or loss is recognized unless the </w:t>
      </w:r>
      <w:hyperlink r:id="rId14" w:anchor="term-820-10-20-FairValue-110473" w:history="1">
        <w:r>
          <w:rPr>
            <w:rFonts w:ascii="Arial" w:hAnsi="Arial" w:cs="Arial"/>
            <w:sz w:val="20"/>
          </w:rPr>
          <w:t>fair value</w:t>
        </w:r>
      </w:hyperlink>
      <w:r>
        <w:rPr>
          <w:rFonts w:ascii="Arial" w:hAnsi="Arial" w:cs="Arial"/>
          <w:sz w:val="20"/>
        </w:rPr>
        <w:t xml:space="preserve"> of noncash assets given as consideration differs from the assets’ carrying amounts.  </w:t>
      </w:r>
    </w:p>
    <w:p w14:paraId="5BEDB623" w14:textId="77777777" w:rsidR="00DF7DFD" w:rsidRDefault="00DF7DFD" w:rsidP="00B5048D">
      <w:pPr>
        <w:pStyle w:val="ListParagraph"/>
        <w:spacing w:line="0" w:lineRule="atLeast"/>
        <w:ind w:left="360"/>
        <w:contextualSpacing/>
        <w:jc w:val="both"/>
        <w:rPr>
          <w:rFonts w:ascii="Arial" w:hAnsi="Arial" w:cs="Arial"/>
          <w:sz w:val="20"/>
        </w:rPr>
      </w:pPr>
    </w:p>
    <w:p w14:paraId="49714EE8"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The useful life of an intangible asset is the period over which the asset is expected to contribute directly or indirectly to future cash flows.  The useful life is not the </w:t>
      </w:r>
      <w:proofErr w:type="gramStart"/>
      <w:r>
        <w:rPr>
          <w:rFonts w:ascii="Arial" w:hAnsi="Arial" w:cs="Arial"/>
          <w:sz w:val="20"/>
        </w:rPr>
        <w:t>period of time</w:t>
      </w:r>
      <w:proofErr w:type="gramEnd"/>
      <w:r>
        <w:rPr>
          <w:rFonts w:ascii="Arial" w:hAnsi="Arial" w:cs="Arial"/>
          <w:sz w:val="20"/>
        </w:rPr>
        <w:t xml:space="preserve"> that it would take to internally develop an intangible asset that would provide similar benefits.  If no legal, regulatory, contractual, competitive, economic, or other factors limit </w:t>
      </w:r>
      <w:proofErr w:type="gramStart"/>
      <w:r>
        <w:rPr>
          <w:rFonts w:ascii="Arial" w:hAnsi="Arial" w:cs="Arial"/>
          <w:sz w:val="20"/>
        </w:rPr>
        <w:t>the useful life, the</w:t>
      </w:r>
      <w:proofErr w:type="gramEnd"/>
      <w:r>
        <w:rPr>
          <w:rFonts w:ascii="Arial" w:hAnsi="Arial" w:cs="Arial"/>
          <w:sz w:val="20"/>
        </w:rPr>
        <w:t xml:space="preserve"> useful life of the asset shall </w:t>
      </w:r>
      <w:proofErr w:type="gramStart"/>
      <w:r>
        <w:rPr>
          <w:rFonts w:ascii="Arial" w:hAnsi="Arial" w:cs="Arial"/>
          <w:sz w:val="20"/>
        </w:rPr>
        <w:t>be considered to be</w:t>
      </w:r>
      <w:proofErr w:type="gramEnd"/>
      <w:r>
        <w:rPr>
          <w:rFonts w:ascii="Arial" w:hAnsi="Arial" w:cs="Arial"/>
          <w:sz w:val="20"/>
        </w:rPr>
        <w:t xml:space="preserve"> indefinite.  The useful life of an intangible asset shall be based on an analysis of </w:t>
      </w:r>
      <w:proofErr w:type="gramStart"/>
      <w:r>
        <w:rPr>
          <w:rFonts w:ascii="Arial" w:hAnsi="Arial" w:cs="Arial"/>
          <w:sz w:val="20"/>
        </w:rPr>
        <w:t>all of</w:t>
      </w:r>
      <w:proofErr w:type="gramEnd"/>
      <w:r>
        <w:rPr>
          <w:rFonts w:ascii="Arial" w:hAnsi="Arial" w:cs="Arial"/>
          <w:sz w:val="20"/>
        </w:rPr>
        <w:t xml:space="preserve"> the following pertinent factors:</w:t>
      </w:r>
    </w:p>
    <w:p w14:paraId="0E55A6D6" w14:textId="77777777" w:rsidR="00DF7DFD" w:rsidRDefault="00F62BB8" w:rsidP="00B5048D">
      <w:pPr>
        <w:numPr>
          <w:ilvl w:val="0"/>
          <w:numId w:val="13"/>
        </w:numPr>
        <w:spacing w:line="0" w:lineRule="atLeast"/>
        <w:jc w:val="both"/>
        <w:rPr>
          <w:rFonts w:ascii="Arial" w:hAnsi="Arial" w:cs="Arial"/>
          <w:sz w:val="20"/>
        </w:rPr>
      </w:pPr>
      <w:bookmarkStart w:id="63" w:name="p35-3-a"/>
      <w:bookmarkEnd w:id="63"/>
      <w:r>
        <w:rPr>
          <w:rFonts w:ascii="Arial" w:hAnsi="Arial" w:cs="Arial"/>
          <w:sz w:val="20"/>
        </w:rPr>
        <w:t xml:space="preserve">The expected use of the asset. </w:t>
      </w:r>
      <w:bookmarkStart w:id="64" w:name="p35-3-b"/>
      <w:bookmarkEnd w:id="64"/>
    </w:p>
    <w:p w14:paraId="06EE0E47" w14:textId="77777777" w:rsidR="00DF7DFD" w:rsidRDefault="00F62BB8" w:rsidP="00B5048D">
      <w:pPr>
        <w:numPr>
          <w:ilvl w:val="0"/>
          <w:numId w:val="13"/>
        </w:numPr>
        <w:spacing w:line="0" w:lineRule="atLeast"/>
        <w:jc w:val="both"/>
        <w:rPr>
          <w:rFonts w:ascii="Arial" w:hAnsi="Arial" w:cs="Arial"/>
          <w:sz w:val="20"/>
        </w:rPr>
      </w:pPr>
      <w:r>
        <w:rPr>
          <w:rFonts w:ascii="Arial" w:hAnsi="Arial" w:cs="Arial"/>
          <w:sz w:val="20"/>
        </w:rPr>
        <w:t xml:space="preserve">The expected useful life of another asset or a group to which the useful life of the intangible asset may relate. </w:t>
      </w:r>
      <w:bookmarkStart w:id="65" w:name="p35-3-c"/>
      <w:bookmarkEnd w:id="65"/>
    </w:p>
    <w:p w14:paraId="75A6658C" w14:textId="77777777" w:rsidR="00DF7DFD" w:rsidRDefault="00F62BB8" w:rsidP="00B5048D">
      <w:pPr>
        <w:numPr>
          <w:ilvl w:val="0"/>
          <w:numId w:val="13"/>
        </w:numPr>
        <w:spacing w:line="0" w:lineRule="atLeast"/>
        <w:jc w:val="both"/>
        <w:rPr>
          <w:rFonts w:ascii="Arial" w:hAnsi="Arial" w:cs="Arial"/>
          <w:sz w:val="20"/>
        </w:rPr>
      </w:pPr>
      <w:r>
        <w:rPr>
          <w:rFonts w:ascii="Arial" w:hAnsi="Arial" w:cs="Arial"/>
          <w:sz w:val="20"/>
        </w:rPr>
        <w:t>Any legal, regulatory, or contractual provisions that may limit the useful life. The useful lives cannot extend beyond the length of their legal rights and may be shorter.</w:t>
      </w:r>
    </w:p>
    <w:p w14:paraId="0B92AF10" w14:textId="77777777" w:rsidR="00DF7DFD" w:rsidRDefault="00F62BB8" w:rsidP="00B5048D">
      <w:pPr>
        <w:numPr>
          <w:ilvl w:val="0"/>
          <w:numId w:val="13"/>
        </w:numPr>
        <w:spacing w:line="0" w:lineRule="atLeast"/>
        <w:jc w:val="both"/>
        <w:rPr>
          <w:rFonts w:ascii="Arial" w:hAnsi="Arial" w:cs="Arial"/>
          <w:sz w:val="20"/>
        </w:rPr>
      </w:pPr>
      <w:bookmarkStart w:id="66" w:name="p35-3-d"/>
      <w:bookmarkEnd w:id="66"/>
      <w:r>
        <w:rPr>
          <w:rFonts w:ascii="Arial" w:hAnsi="Arial" w:cs="Arial"/>
          <w:sz w:val="20"/>
        </w:rPr>
        <w:t xml:space="preserve">The Company’s historical experience in renewing or extending similar arrangements, consistent with the intended use of the asset by the entity, regardless of whether those arrangements have explicit renewal or extension provisions. </w:t>
      </w:r>
    </w:p>
    <w:p w14:paraId="1552AE64" w14:textId="77777777" w:rsidR="00DF7DFD" w:rsidRDefault="00F62BB8" w:rsidP="00B5048D">
      <w:pPr>
        <w:numPr>
          <w:ilvl w:val="0"/>
          <w:numId w:val="13"/>
        </w:numPr>
        <w:spacing w:line="0" w:lineRule="atLeast"/>
        <w:jc w:val="both"/>
        <w:rPr>
          <w:rFonts w:ascii="Arial" w:hAnsi="Arial" w:cs="Arial"/>
          <w:sz w:val="20"/>
        </w:rPr>
      </w:pPr>
      <w:bookmarkStart w:id="67" w:name="p35-3-e"/>
      <w:bookmarkEnd w:id="67"/>
      <w:r>
        <w:rPr>
          <w:rFonts w:ascii="Arial" w:hAnsi="Arial" w:cs="Arial"/>
          <w:sz w:val="20"/>
        </w:rPr>
        <w:t>The effects of obsolescence, demand, competition, and other economic factors.</w:t>
      </w:r>
    </w:p>
    <w:p w14:paraId="1FF8E0F0" w14:textId="77777777" w:rsidR="00DF7DFD" w:rsidRDefault="00F62BB8" w:rsidP="00B5048D">
      <w:pPr>
        <w:numPr>
          <w:ilvl w:val="0"/>
          <w:numId w:val="13"/>
        </w:numPr>
        <w:spacing w:line="0" w:lineRule="atLeast"/>
        <w:jc w:val="both"/>
        <w:rPr>
          <w:rFonts w:ascii="Arial" w:hAnsi="Arial" w:cs="Arial"/>
          <w:sz w:val="20"/>
        </w:rPr>
      </w:pPr>
      <w:bookmarkStart w:id="68" w:name="p35-3-f"/>
      <w:bookmarkEnd w:id="68"/>
      <w:r>
        <w:rPr>
          <w:rFonts w:ascii="Arial" w:hAnsi="Arial" w:cs="Arial"/>
          <w:sz w:val="20"/>
        </w:rPr>
        <w:t xml:space="preserve">The level of maintenance </w:t>
      </w:r>
      <w:proofErr w:type="gramStart"/>
      <w:r>
        <w:rPr>
          <w:rFonts w:ascii="Arial" w:hAnsi="Arial" w:cs="Arial"/>
          <w:sz w:val="20"/>
        </w:rPr>
        <w:t>expenditures</w:t>
      </w:r>
      <w:proofErr w:type="gramEnd"/>
      <w:r>
        <w:rPr>
          <w:rFonts w:ascii="Arial" w:hAnsi="Arial" w:cs="Arial"/>
          <w:sz w:val="20"/>
        </w:rPr>
        <w:t xml:space="preserve"> required to obtain the expected future cash flows from the asset. </w:t>
      </w:r>
    </w:p>
    <w:p w14:paraId="29DA09EA" w14:textId="77777777" w:rsidR="00DF7DFD" w:rsidRDefault="00DF7DFD" w:rsidP="00B5048D">
      <w:pPr>
        <w:spacing w:line="0" w:lineRule="atLeast"/>
        <w:ind w:left="270"/>
        <w:jc w:val="both"/>
        <w:rPr>
          <w:rFonts w:ascii="Arial" w:hAnsi="Arial" w:cs="Arial"/>
          <w:sz w:val="20"/>
        </w:rPr>
      </w:pPr>
    </w:p>
    <w:p w14:paraId="2CBB2EB9"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The method of amortization shall reflect the pattern in which the economic benefits of the intangible asset are consumed or otherwise used up. If that pattern cannot be reliably determined, a straight-line amortization method shall be used.</w:t>
      </w:r>
    </w:p>
    <w:p w14:paraId="23FC4B72" w14:textId="77777777" w:rsidR="00DF7DFD" w:rsidRDefault="00DF7DFD" w:rsidP="00B5048D">
      <w:pPr>
        <w:pStyle w:val="ListParagraph"/>
        <w:spacing w:line="0" w:lineRule="atLeast"/>
        <w:ind w:left="360"/>
        <w:contextualSpacing/>
        <w:jc w:val="both"/>
        <w:rPr>
          <w:rFonts w:ascii="Arial" w:hAnsi="Arial" w:cs="Arial"/>
          <w:sz w:val="20"/>
        </w:rPr>
      </w:pPr>
    </w:p>
    <w:p w14:paraId="20E71EE5"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Intangible assets acquired through a business combination should be accounted for as discussed under the Business Combination section.  Intangible assets acquired in a business combination that are used in R&amp;D activities (regardless of whether they have an alternative future use) shall be considered </w:t>
      </w:r>
      <w:proofErr w:type="gramStart"/>
      <w:r>
        <w:rPr>
          <w:rFonts w:ascii="Arial" w:hAnsi="Arial" w:cs="Arial"/>
          <w:sz w:val="20"/>
        </w:rPr>
        <w:t>indefinite</w:t>
      </w:r>
      <w:proofErr w:type="gramEnd"/>
      <w:r>
        <w:rPr>
          <w:rFonts w:ascii="Arial" w:hAnsi="Arial" w:cs="Arial"/>
          <w:sz w:val="20"/>
        </w:rPr>
        <w:t xml:space="preserve"> lived until the completion or abandonment of the associated R&amp;D efforts. Once the R&amp;D efforts are completed or abandoned, the Company will determine the useful life of the assets.</w:t>
      </w:r>
    </w:p>
    <w:p w14:paraId="51523147" w14:textId="77777777" w:rsidR="00710DF7" w:rsidRDefault="00710DF7" w:rsidP="00710DF7">
      <w:pPr>
        <w:pStyle w:val="ListParagraph"/>
        <w:spacing w:line="0" w:lineRule="atLeast"/>
        <w:ind w:left="360"/>
        <w:contextualSpacing/>
        <w:jc w:val="both"/>
        <w:rPr>
          <w:rFonts w:ascii="Arial" w:hAnsi="Arial" w:cs="Arial"/>
          <w:color w:val="3333FF"/>
          <w:sz w:val="20"/>
        </w:rPr>
      </w:pPr>
    </w:p>
    <w:p w14:paraId="519A0F53" w14:textId="56DA72E8"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The costs of intangible assets that are purchased from others for use in R&amp;D activities and that have alternative future uses (in R&amp;D projects or otherwise) shall be recorded as an intangible asset and the amortization is recorded as </w:t>
      </w:r>
      <w:proofErr w:type="gramStart"/>
      <w:r>
        <w:rPr>
          <w:rFonts w:ascii="Arial" w:hAnsi="Arial" w:cs="Arial"/>
          <w:sz w:val="20"/>
        </w:rPr>
        <w:t>a R</w:t>
      </w:r>
      <w:proofErr w:type="gramEnd"/>
      <w:r>
        <w:rPr>
          <w:rFonts w:ascii="Arial" w:hAnsi="Arial" w:cs="Arial"/>
          <w:sz w:val="20"/>
        </w:rPr>
        <w:t xml:space="preserve">&amp;D cost. However, if there is no alternative future use, it is </w:t>
      </w:r>
      <w:proofErr w:type="gramStart"/>
      <w:r>
        <w:rPr>
          <w:rFonts w:ascii="Arial" w:hAnsi="Arial" w:cs="Arial"/>
          <w:sz w:val="20"/>
        </w:rPr>
        <w:t>expensed</w:t>
      </w:r>
      <w:proofErr w:type="gramEnd"/>
      <w:r>
        <w:rPr>
          <w:rFonts w:ascii="Arial" w:hAnsi="Arial" w:cs="Arial"/>
          <w:sz w:val="20"/>
        </w:rPr>
        <w:t xml:space="preserve"> at the time the costs are incurred. R&amp;D </w:t>
      </w:r>
      <w:proofErr w:type="gramStart"/>
      <w:r>
        <w:rPr>
          <w:rFonts w:ascii="Arial" w:hAnsi="Arial" w:cs="Arial"/>
          <w:sz w:val="20"/>
        </w:rPr>
        <w:t>cost</w:t>
      </w:r>
      <w:proofErr w:type="gramEnd"/>
      <w:r>
        <w:rPr>
          <w:rFonts w:ascii="Arial" w:hAnsi="Arial" w:cs="Arial"/>
          <w:sz w:val="20"/>
        </w:rPr>
        <w:t xml:space="preserve"> may only be capitalized </w:t>
      </w:r>
      <w:r w:rsidR="00F41032" w:rsidRPr="00653608">
        <w:rPr>
          <w:rFonts w:ascii="Arial" w:hAnsi="Arial" w:cs="Arial"/>
          <w:sz w:val="20"/>
        </w:rPr>
        <w:t>if reviewed and approved by Dir, TA</w:t>
      </w:r>
      <w:r>
        <w:rPr>
          <w:rFonts w:ascii="Arial" w:hAnsi="Arial" w:cs="Arial"/>
          <w:sz w:val="20"/>
        </w:rPr>
        <w:t>.  Although future benefits from a particular R&amp;D project may be foreseen, they generally cannot be measured with a reasonable degree of certainty. As a result, all R&amp;D costs are typically expensed as incurred.</w:t>
      </w:r>
    </w:p>
    <w:p w14:paraId="1E4AB14E" w14:textId="77777777" w:rsidR="00DF7DFD" w:rsidRDefault="00DF7DFD" w:rsidP="00B5048D">
      <w:pPr>
        <w:pStyle w:val="ListParagraph"/>
        <w:spacing w:line="0" w:lineRule="atLeast"/>
        <w:ind w:left="360"/>
        <w:contextualSpacing/>
        <w:jc w:val="both"/>
        <w:rPr>
          <w:rFonts w:ascii="Arial" w:hAnsi="Arial" w:cs="Arial"/>
          <w:sz w:val="20"/>
        </w:rPr>
      </w:pPr>
    </w:p>
    <w:p w14:paraId="057E2D21" w14:textId="7CD9BA98" w:rsidR="00946D1A" w:rsidRDefault="00946D1A" w:rsidP="00B5048D">
      <w:pPr>
        <w:pStyle w:val="ListParagraph"/>
        <w:spacing w:line="0" w:lineRule="atLeast"/>
        <w:ind w:left="360"/>
        <w:contextualSpacing/>
        <w:jc w:val="both"/>
        <w:rPr>
          <w:rFonts w:ascii="Arial" w:hAnsi="Arial" w:cs="Arial"/>
          <w:sz w:val="20"/>
        </w:rPr>
      </w:pPr>
      <w:r w:rsidRPr="00946D1A">
        <w:rPr>
          <w:rFonts w:ascii="Arial" w:hAnsi="Arial" w:cs="Arial"/>
          <w:sz w:val="20"/>
        </w:rPr>
        <w:t xml:space="preserve">Annually, in Q2, Bioventus will assess all fully amortized intangibles, and intangible assets set to fully amortize in the current year, to ensure the assets are still providing benefit to the business.  If the fully amortized intangible asset is no longer providing benefit, the asset and accumulated depreciation will be written off.  The assets will </w:t>
      </w:r>
      <w:r>
        <w:rPr>
          <w:rFonts w:ascii="Arial" w:hAnsi="Arial" w:cs="Arial"/>
          <w:sz w:val="20"/>
        </w:rPr>
        <w:t xml:space="preserve">also </w:t>
      </w:r>
      <w:r w:rsidRPr="00946D1A">
        <w:rPr>
          <w:rFonts w:ascii="Arial" w:hAnsi="Arial" w:cs="Arial"/>
          <w:sz w:val="20"/>
        </w:rPr>
        <w:t>be reassessed if there are any significant changes to the business including acquisitions, divestitures, or other relevant significant transactions</w:t>
      </w:r>
      <w:r>
        <w:rPr>
          <w:rFonts w:ascii="Arial" w:hAnsi="Arial" w:cs="Arial"/>
          <w:sz w:val="20"/>
        </w:rPr>
        <w:t>.</w:t>
      </w:r>
    </w:p>
    <w:p w14:paraId="297F7602" w14:textId="77777777" w:rsidR="00946D1A" w:rsidRDefault="00946D1A" w:rsidP="00B5048D">
      <w:pPr>
        <w:pStyle w:val="ListParagraph"/>
        <w:spacing w:line="0" w:lineRule="atLeast"/>
        <w:ind w:left="360"/>
        <w:contextualSpacing/>
        <w:jc w:val="both"/>
        <w:rPr>
          <w:rFonts w:ascii="Arial" w:hAnsi="Arial" w:cs="Arial"/>
          <w:sz w:val="20"/>
        </w:rPr>
      </w:pPr>
    </w:p>
    <w:p w14:paraId="3280C21F" w14:textId="7B018CA9"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In </w:t>
      </w:r>
      <w:proofErr w:type="gramStart"/>
      <w:r>
        <w:rPr>
          <w:rFonts w:ascii="Arial" w:hAnsi="Arial" w:cs="Arial"/>
          <w:sz w:val="20"/>
        </w:rPr>
        <w:t>addition</w:t>
      </w:r>
      <w:proofErr w:type="gramEnd"/>
      <w:r>
        <w:rPr>
          <w:rFonts w:ascii="Arial" w:hAnsi="Arial" w:cs="Arial"/>
          <w:sz w:val="20"/>
        </w:rPr>
        <w:t xml:space="preserve"> the following costs should be written off as incurred as they are indistinguishable from the costs of developing the business as a whole:</w:t>
      </w:r>
    </w:p>
    <w:p w14:paraId="10A3EF5D" w14:textId="77777777" w:rsidR="00DF7DFD" w:rsidRDefault="00F62BB8" w:rsidP="00B5048D">
      <w:pPr>
        <w:numPr>
          <w:ilvl w:val="0"/>
          <w:numId w:val="14"/>
        </w:numPr>
        <w:spacing w:line="0" w:lineRule="atLeast"/>
        <w:jc w:val="both"/>
        <w:rPr>
          <w:rFonts w:ascii="Arial" w:hAnsi="Arial" w:cs="Arial"/>
          <w:sz w:val="20"/>
        </w:rPr>
      </w:pPr>
      <w:r>
        <w:rPr>
          <w:rFonts w:ascii="Arial" w:hAnsi="Arial" w:cs="Arial"/>
          <w:sz w:val="20"/>
        </w:rPr>
        <w:t>Start-up costs, unless specifically included as the initial cost of property and equipment;</w:t>
      </w:r>
    </w:p>
    <w:p w14:paraId="7C227CED" w14:textId="77777777" w:rsidR="00DF7DFD" w:rsidRDefault="00F62BB8" w:rsidP="00B5048D">
      <w:pPr>
        <w:numPr>
          <w:ilvl w:val="0"/>
          <w:numId w:val="14"/>
        </w:numPr>
        <w:spacing w:line="0" w:lineRule="atLeast"/>
        <w:jc w:val="both"/>
        <w:rPr>
          <w:rFonts w:ascii="Arial" w:hAnsi="Arial" w:cs="Arial"/>
          <w:sz w:val="20"/>
        </w:rPr>
      </w:pPr>
      <w:r>
        <w:rPr>
          <w:rFonts w:ascii="Arial" w:hAnsi="Arial" w:cs="Arial"/>
          <w:sz w:val="20"/>
        </w:rPr>
        <w:t>Training costs of employees;</w:t>
      </w:r>
    </w:p>
    <w:p w14:paraId="521F8E80" w14:textId="77777777" w:rsidR="00DF7DFD" w:rsidRDefault="00F62BB8" w:rsidP="00B5048D">
      <w:pPr>
        <w:numPr>
          <w:ilvl w:val="0"/>
          <w:numId w:val="14"/>
        </w:numPr>
        <w:spacing w:line="0" w:lineRule="atLeast"/>
        <w:jc w:val="both"/>
        <w:rPr>
          <w:rFonts w:ascii="Arial" w:hAnsi="Arial" w:cs="Arial"/>
          <w:sz w:val="20"/>
        </w:rPr>
      </w:pPr>
      <w:r>
        <w:rPr>
          <w:rFonts w:ascii="Arial" w:hAnsi="Arial" w:cs="Arial"/>
          <w:sz w:val="20"/>
        </w:rPr>
        <w:t>Advertising and promotion costs;</w:t>
      </w:r>
    </w:p>
    <w:p w14:paraId="1FAAAED3" w14:textId="77777777" w:rsidR="00DF7DFD" w:rsidRDefault="00F62BB8" w:rsidP="00B5048D">
      <w:pPr>
        <w:numPr>
          <w:ilvl w:val="0"/>
          <w:numId w:val="14"/>
        </w:numPr>
        <w:spacing w:line="0" w:lineRule="atLeast"/>
        <w:jc w:val="both"/>
        <w:rPr>
          <w:rFonts w:ascii="Arial" w:hAnsi="Arial" w:cs="Arial"/>
          <w:sz w:val="20"/>
        </w:rPr>
      </w:pPr>
      <w:r>
        <w:rPr>
          <w:rFonts w:ascii="Arial" w:hAnsi="Arial" w:cs="Arial"/>
          <w:sz w:val="20"/>
        </w:rPr>
        <w:t>Relocation expenses; and</w:t>
      </w:r>
    </w:p>
    <w:p w14:paraId="7201A4D3" w14:textId="77777777" w:rsidR="00DF7DFD" w:rsidRDefault="00F62BB8" w:rsidP="00B5048D">
      <w:pPr>
        <w:numPr>
          <w:ilvl w:val="0"/>
          <w:numId w:val="14"/>
        </w:numPr>
        <w:spacing w:line="0" w:lineRule="atLeast"/>
        <w:jc w:val="both"/>
        <w:rPr>
          <w:rFonts w:ascii="Arial" w:hAnsi="Arial" w:cs="Arial"/>
          <w:sz w:val="20"/>
        </w:rPr>
      </w:pPr>
      <w:r>
        <w:rPr>
          <w:rFonts w:ascii="Arial" w:hAnsi="Arial" w:cs="Arial"/>
          <w:sz w:val="20"/>
        </w:rPr>
        <w:t>Re-organization costs.</w:t>
      </w:r>
    </w:p>
    <w:p w14:paraId="2F11B1DC" w14:textId="77777777" w:rsidR="00802B24" w:rsidRDefault="00802B24" w:rsidP="00802B24">
      <w:pPr>
        <w:spacing w:line="0" w:lineRule="atLeast"/>
        <w:jc w:val="both"/>
        <w:rPr>
          <w:rFonts w:ascii="Arial" w:hAnsi="Arial" w:cs="Arial"/>
          <w:sz w:val="20"/>
        </w:rPr>
      </w:pPr>
    </w:p>
    <w:p w14:paraId="1C7823DE" w14:textId="2060E30F" w:rsidR="00802B24" w:rsidRDefault="00D06E44" w:rsidP="00802B24">
      <w:pPr>
        <w:pStyle w:val="ListParagraph"/>
        <w:spacing w:line="0" w:lineRule="atLeast"/>
        <w:ind w:left="360"/>
        <w:contextualSpacing/>
        <w:jc w:val="both"/>
        <w:rPr>
          <w:rFonts w:ascii="Arial" w:hAnsi="Arial" w:cs="Arial"/>
          <w:sz w:val="20"/>
        </w:rPr>
      </w:pPr>
      <w:r w:rsidRPr="009D7A9F">
        <w:rPr>
          <w:rFonts w:ascii="Arial" w:hAnsi="Arial" w:cs="Arial"/>
          <w:sz w:val="20"/>
          <w:u w:val="single"/>
        </w:rPr>
        <w:t>Impairment:</w:t>
      </w:r>
      <w:r>
        <w:rPr>
          <w:rFonts w:ascii="Arial" w:hAnsi="Arial" w:cs="Arial"/>
          <w:sz w:val="20"/>
        </w:rPr>
        <w:t xml:space="preserve"> In</w:t>
      </w:r>
      <w:r w:rsidR="00802B24">
        <w:rPr>
          <w:rFonts w:ascii="Arial" w:hAnsi="Arial" w:cs="Arial"/>
          <w:sz w:val="20"/>
        </w:rPr>
        <w:t xml:space="preserve">definite-lived intangible assets are tested annually for impairment, or more frequently if indicators of impairment exist. Other intangible assets </w:t>
      </w:r>
      <w:r>
        <w:rPr>
          <w:rFonts w:ascii="Arial" w:hAnsi="Arial" w:cs="Arial"/>
          <w:sz w:val="20"/>
        </w:rPr>
        <w:t xml:space="preserve">(asset group) </w:t>
      </w:r>
      <w:r w:rsidR="00802B24">
        <w:rPr>
          <w:rFonts w:ascii="Arial" w:hAnsi="Arial" w:cs="Arial"/>
          <w:sz w:val="20"/>
        </w:rPr>
        <w:t xml:space="preserve">are tested for impairment </w:t>
      </w:r>
      <w:r w:rsidR="009F6BF9">
        <w:rPr>
          <w:rFonts w:ascii="Arial" w:hAnsi="Arial" w:cs="Arial"/>
          <w:sz w:val="20"/>
        </w:rPr>
        <w:t xml:space="preserve">pursuant to ASC 360-10 (Property, Plant and Equipment) if indicators of impairment exist. </w:t>
      </w:r>
      <w:r w:rsidR="009F6BF9" w:rsidRPr="006534BD">
        <w:rPr>
          <w:rFonts w:ascii="Arial" w:hAnsi="Arial" w:cs="Arial"/>
          <w:i/>
          <w:iCs/>
          <w:sz w:val="20"/>
        </w:rPr>
        <w:t>Refer to subsection 11.10 Impairment of long-lived assets held and used for further discussion</w:t>
      </w:r>
      <w:r w:rsidR="009F6BF9">
        <w:rPr>
          <w:rFonts w:ascii="Arial" w:hAnsi="Arial" w:cs="Arial"/>
          <w:sz w:val="20"/>
        </w:rPr>
        <w:t xml:space="preserve">. </w:t>
      </w:r>
      <w:r w:rsidR="00802B24">
        <w:rPr>
          <w:rFonts w:ascii="Arial" w:hAnsi="Arial" w:cs="Arial"/>
          <w:sz w:val="20"/>
        </w:rPr>
        <w:t xml:space="preserve">The </w:t>
      </w:r>
      <w:r w:rsidR="00802B24" w:rsidRPr="00653608">
        <w:rPr>
          <w:rFonts w:ascii="Arial" w:hAnsi="Arial" w:cs="Arial"/>
          <w:sz w:val="20"/>
        </w:rPr>
        <w:t>Dir, TA is responsible</w:t>
      </w:r>
      <w:r w:rsidR="00802B24">
        <w:rPr>
          <w:rFonts w:ascii="Arial" w:hAnsi="Arial" w:cs="Arial"/>
          <w:sz w:val="20"/>
        </w:rPr>
        <w:t xml:space="preserve"> for </w:t>
      </w:r>
      <w:r w:rsidR="009F6BF9">
        <w:rPr>
          <w:rFonts w:ascii="Arial" w:hAnsi="Arial" w:cs="Arial"/>
          <w:sz w:val="20"/>
        </w:rPr>
        <w:t xml:space="preserve">ensuring </w:t>
      </w:r>
      <w:r w:rsidR="00802B24">
        <w:rPr>
          <w:rFonts w:ascii="Arial" w:hAnsi="Arial" w:cs="Arial"/>
          <w:sz w:val="20"/>
        </w:rPr>
        <w:t xml:space="preserve">impairment testing </w:t>
      </w:r>
      <w:r w:rsidR="001D7846">
        <w:rPr>
          <w:rFonts w:ascii="Arial" w:hAnsi="Arial" w:cs="Arial"/>
          <w:sz w:val="20"/>
        </w:rPr>
        <w:t xml:space="preserve">is </w:t>
      </w:r>
      <w:r w:rsidR="00802B24">
        <w:rPr>
          <w:rFonts w:ascii="Arial" w:hAnsi="Arial" w:cs="Arial"/>
          <w:sz w:val="20"/>
        </w:rPr>
        <w:t>conducted</w:t>
      </w:r>
      <w:r w:rsidR="009F6BF9">
        <w:rPr>
          <w:rFonts w:ascii="Arial" w:hAnsi="Arial" w:cs="Arial"/>
          <w:sz w:val="20"/>
        </w:rPr>
        <w:t xml:space="preserve"> </w:t>
      </w:r>
      <w:r w:rsidR="001D7846">
        <w:rPr>
          <w:rFonts w:ascii="Arial" w:hAnsi="Arial" w:cs="Arial"/>
          <w:sz w:val="20"/>
        </w:rPr>
        <w:t xml:space="preserve">as required </w:t>
      </w:r>
      <w:r>
        <w:rPr>
          <w:rFonts w:ascii="Arial" w:hAnsi="Arial" w:cs="Arial"/>
          <w:sz w:val="20"/>
        </w:rPr>
        <w:t xml:space="preserve">for </w:t>
      </w:r>
      <w:r w:rsidR="009F6BF9">
        <w:rPr>
          <w:rFonts w:ascii="Arial" w:hAnsi="Arial" w:cs="Arial"/>
          <w:sz w:val="20"/>
        </w:rPr>
        <w:t xml:space="preserve">intangible </w:t>
      </w:r>
      <w:r>
        <w:rPr>
          <w:rFonts w:ascii="Arial" w:hAnsi="Arial" w:cs="Arial"/>
          <w:sz w:val="20"/>
        </w:rPr>
        <w:t>assets.</w:t>
      </w:r>
    </w:p>
    <w:p w14:paraId="6D6D24AE" w14:textId="77777777" w:rsidR="00802B24" w:rsidRDefault="00802B24" w:rsidP="009D7A9F">
      <w:pPr>
        <w:spacing w:line="0" w:lineRule="atLeast"/>
        <w:jc w:val="both"/>
        <w:rPr>
          <w:rFonts w:ascii="Arial" w:hAnsi="Arial" w:cs="Arial"/>
          <w:sz w:val="20"/>
        </w:rPr>
      </w:pPr>
    </w:p>
    <w:p w14:paraId="4C3E1B39" w14:textId="77777777" w:rsidR="00D06E44" w:rsidRDefault="00D06E44" w:rsidP="00D06E44">
      <w:pPr>
        <w:pStyle w:val="ListParagraph"/>
        <w:spacing w:line="0" w:lineRule="atLeast"/>
        <w:ind w:left="360"/>
        <w:contextualSpacing/>
        <w:jc w:val="both"/>
        <w:rPr>
          <w:rFonts w:ascii="Arial" w:hAnsi="Arial" w:cs="Arial"/>
          <w:sz w:val="20"/>
        </w:rPr>
      </w:pPr>
      <w:r>
        <w:rPr>
          <w:rFonts w:ascii="Arial" w:hAnsi="Arial" w:cs="Arial"/>
          <w:sz w:val="20"/>
        </w:rPr>
        <w:t>I</w:t>
      </w:r>
      <w:r w:rsidRPr="006534BD">
        <w:rPr>
          <w:rFonts w:ascii="Arial" w:hAnsi="Arial" w:cs="Arial"/>
          <w:sz w:val="20"/>
        </w:rPr>
        <w:t>mpairment losses incurred in the current period will be disclosed as its own caption as a component of operating income/loss on the consolidated statements of operations.</w:t>
      </w:r>
    </w:p>
    <w:p w14:paraId="5E2C72B2" w14:textId="77777777" w:rsidR="00802B24" w:rsidRDefault="00802B24" w:rsidP="00802B24">
      <w:pPr>
        <w:spacing w:line="0" w:lineRule="atLeast"/>
        <w:jc w:val="both"/>
        <w:rPr>
          <w:rFonts w:ascii="Arial" w:hAnsi="Arial" w:cs="Arial"/>
          <w:sz w:val="20"/>
        </w:rPr>
      </w:pPr>
    </w:p>
    <w:p w14:paraId="2B8037FC" w14:textId="1062C20F"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69" w:name="_Equity_Investments"/>
      <w:bookmarkStart w:id="70" w:name="_Toc217460906"/>
      <w:bookmarkStart w:id="71" w:name="_Toc308509447"/>
      <w:bookmarkEnd w:id="62"/>
      <w:bookmarkEnd w:id="69"/>
      <w:r>
        <w:rPr>
          <w:rFonts w:ascii="Century Gothic" w:hAnsi="Century Gothic" w:cs="Arial"/>
          <w:bCs w:val="0"/>
          <w:sz w:val="20"/>
        </w:rPr>
        <w:t>Equity Investments</w:t>
      </w:r>
      <w:bookmarkEnd w:id="70"/>
      <w:bookmarkEnd w:id="71"/>
    </w:p>
    <w:p w14:paraId="0BA3FF23" w14:textId="77777777" w:rsidR="00F93ACD" w:rsidRDefault="00F62BB8" w:rsidP="00B5048D">
      <w:pPr>
        <w:pStyle w:val="ListParagraph"/>
        <w:spacing w:line="0" w:lineRule="atLeast"/>
        <w:ind w:left="360"/>
        <w:contextualSpacing/>
        <w:jc w:val="both"/>
        <w:rPr>
          <w:rFonts w:ascii="Arial" w:hAnsi="Arial" w:cs="Arial"/>
          <w:sz w:val="20"/>
        </w:rPr>
      </w:pPr>
      <w:r w:rsidRPr="00F93ACD">
        <w:rPr>
          <w:rFonts w:ascii="Arial" w:hAnsi="Arial" w:cs="Arial"/>
          <w:sz w:val="20"/>
        </w:rPr>
        <w:t xml:space="preserve">Investments are comprised of </w:t>
      </w:r>
      <w:r w:rsidR="00F93ACD">
        <w:rPr>
          <w:rFonts w:ascii="Arial" w:hAnsi="Arial" w:cs="Arial"/>
          <w:sz w:val="20"/>
        </w:rPr>
        <w:t>the following:</w:t>
      </w:r>
    </w:p>
    <w:p w14:paraId="70F089C6" w14:textId="2126A497" w:rsidR="00DF7DFD" w:rsidRDefault="00F93ACD" w:rsidP="00B5048D">
      <w:pPr>
        <w:pStyle w:val="ListParagraph"/>
        <w:numPr>
          <w:ilvl w:val="0"/>
          <w:numId w:val="43"/>
        </w:numPr>
        <w:spacing w:line="0" w:lineRule="atLeast"/>
        <w:contextualSpacing/>
        <w:jc w:val="both"/>
        <w:rPr>
          <w:rFonts w:ascii="Arial" w:hAnsi="Arial" w:cs="Arial"/>
          <w:sz w:val="20"/>
        </w:rPr>
      </w:pPr>
      <w:r w:rsidRPr="00D43D29">
        <w:rPr>
          <w:rFonts w:ascii="Arial" w:hAnsi="Arial" w:cs="Arial"/>
          <w:sz w:val="20"/>
          <w:u w:val="single"/>
        </w:rPr>
        <w:t>Wholly owned</w:t>
      </w:r>
      <w:r w:rsidR="00F62BB8" w:rsidRPr="00D43D29">
        <w:rPr>
          <w:rFonts w:ascii="Arial" w:hAnsi="Arial" w:cs="Arial"/>
          <w:sz w:val="20"/>
          <w:u w:val="single"/>
        </w:rPr>
        <w:t xml:space="preserve"> subsidiaries</w:t>
      </w:r>
      <w:r w:rsidR="00F62BB8" w:rsidRPr="00F93ACD">
        <w:rPr>
          <w:rFonts w:ascii="Arial" w:hAnsi="Arial" w:cs="Arial"/>
          <w:sz w:val="20"/>
        </w:rPr>
        <w:t>, which are initially stated at cost (as an approximation of fair value at time of acquisition).  Capital contributions and dividends are recorded by the parent as an increase or decrease in investment in subsidiary, respectively. The subsidiary would record an increase or decrease in intercompany capital, respectively.</w:t>
      </w:r>
    </w:p>
    <w:p w14:paraId="47E50382" w14:textId="0AD5F1F7" w:rsidR="00F93ACD" w:rsidRDefault="00F93ACD" w:rsidP="00C96CD5">
      <w:pPr>
        <w:pStyle w:val="ListParagraph"/>
        <w:numPr>
          <w:ilvl w:val="0"/>
          <w:numId w:val="43"/>
        </w:numPr>
        <w:spacing w:line="0" w:lineRule="atLeast"/>
        <w:contextualSpacing/>
        <w:jc w:val="both"/>
        <w:rPr>
          <w:rFonts w:ascii="Arial" w:hAnsi="Arial" w:cs="Arial"/>
          <w:sz w:val="20"/>
        </w:rPr>
      </w:pPr>
      <w:r w:rsidRPr="00D43D29">
        <w:rPr>
          <w:rFonts w:ascii="Arial" w:hAnsi="Arial" w:cs="Arial"/>
          <w:sz w:val="20"/>
          <w:u w:val="single"/>
        </w:rPr>
        <w:t>Controlled Investments</w:t>
      </w:r>
      <w:r w:rsidR="005557AD">
        <w:rPr>
          <w:rFonts w:ascii="Arial" w:hAnsi="Arial" w:cs="Arial"/>
          <w:sz w:val="20"/>
        </w:rPr>
        <w:t xml:space="preserve"> </w:t>
      </w:r>
      <w:r>
        <w:rPr>
          <w:rFonts w:ascii="Arial" w:hAnsi="Arial" w:cs="Arial"/>
          <w:sz w:val="20"/>
        </w:rPr>
        <w:t xml:space="preserve">for which we </w:t>
      </w:r>
      <w:r w:rsidR="006C4009">
        <w:rPr>
          <w:rFonts w:ascii="Arial" w:hAnsi="Arial" w:cs="Arial"/>
          <w:sz w:val="20"/>
        </w:rPr>
        <w:t>generally record consistent with business combination policies</w:t>
      </w:r>
      <w:r>
        <w:rPr>
          <w:rFonts w:ascii="Arial" w:hAnsi="Arial" w:cs="Arial"/>
          <w:sz w:val="20"/>
        </w:rPr>
        <w:t>.</w:t>
      </w:r>
      <w:r w:rsidR="005557AD">
        <w:rPr>
          <w:rFonts w:ascii="Arial" w:hAnsi="Arial" w:cs="Arial"/>
          <w:sz w:val="20"/>
        </w:rPr>
        <w:t xml:space="preserve"> For example, when the Company consolidates a Variable Interest Entity (“VIE”) when it is the primary beneficiary of the VIE</w:t>
      </w:r>
      <w:r w:rsidR="003D6503">
        <w:rPr>
          <w:rFonts w:ascii="Arial" w:hAnsi="Arial" w:cs="Arial"/>
          <w:sz w:val="20"/>
        </w:rPr>
        <w:t xml:space="preserve"> (i.e., holds a controlling financial interest)</w:t>
      </w:r>
      <w:r w:rsidR="005557AD">
        <w:rPr>
          <w:rFonts w:ascii="Arial" w:hAnsi="Arial" w:cs="Arial"/>
          <w:sz w:val="20"/>
        </w:rPr>
        <w:t>.</w:t>
      </w:r>
      <w:r w:rsidR="00C96CD5">
        <w:rPr>
          <w:rFonts w:ascii="Arial" w:hAnsi="Arial" w:cs="Arial"/>
          <w:sz w:val="20"/>
        </w:rPr>
        <w:t xml:space="preserve"> See further discussion in the Consolidation subsection.</w:t>
      </w:r>
    </w:p>
    <w:p w14:paraId="2D929B6B" w14:textId="31E229FB" w:rsidR="00D0626B" w:rsidRPr="001848C6" w:rsidRDefault="00D0626B" w:rsidP="001848C6">
      <w:pPr>
        <w:pStyle w:val="ListParagraph"/>
        <w:numPr>
          <w:ilvl w:val="0"/>
          <w:numId w:val="43"/>
        </w:numPr>
        <w:spacing w:line="0" w:lineRule="atLeast"/>
        <w:contextualSpacing/>
        <w:jc w:val="both"/>
        <w:rPr>
          <w:rFonts w:ascii="Arial" w:hAnsi="Arial" w:cs="Arial"/>
          <w:sz w:val="20"/>
        </w:rPr>
      </w:pPr>
      <w:r w:rsidRPr="00D43D29">
        <w:rPr>
          <w:rFonts w:ascii="Arial" w:hAnsi="Arial" w:cs="Arial"/>
          <w:sz w:val="20"/>
          <w:u w:val="single"/>
        </w:rPr>
        <w:t>Equity method investments</w:t>
      </w:r>
      <w:r>
        <w:rPr>
          <w:rFonts w:ascii="Arial" w:hAnsi="Arial" w:cs="Arial"/>
          <w:sz w:val="20"/>
        </w:rPr>
        <w:t xml:space="preserve"> in which the Company can exercise significant influence but does not </w:t>
      </w:r>
      <w:r w:rsidR="003D6503">
        <w:rPr>
          <w:rFonts w:ascii="Arial" w:hAnsi="Arial" w:cs="Arial"/>
          <w:sz w:val="20"/>
        </w:rPr>
        <w:t xml:space="preserve">hold a controlling </w:t>
      </w:r>
      <w:r w:rsidR="00BC63E6">
        <w:rPr>
          <w:rFonts w:ascii="Arial" w:hAnsi="Arial" w:cs="Arial"/>
          <w:sz w:val="20"/>
        </w:rPr>
        <w:t xml:space="preserve">financial interest in </w:t>
      </w:r>
      <w:r>
        <w:rPr>
          <w:rFonts w:ascii="Arial" w:hAnsi="Arial" w:cs="Arial"/>
          <w:sz w:val="20"/>
        </w:rPr>
        <w:t xml:space="preserve">the investee. Under the equity method of accounting, the Company records its </w:t>
      </w:r>
      <w:r w:rsidR="003D6503">
        <w:rPr>
          <w:rFonts w:ascii="Arial" w:hAnsi="Arial" w:cs="Arial"/>
          <w:sz w:val="20"/>
        </w:rPr>
        <w:t xml:space="preserve">proportionate </w:t>
      </w:r>
      <w:r>
        <w:rPr>
          <w:rFonts w:ascii="Arial" w:hAnsi="Arial" w:cs="Arial"/>
          <w:sz w:val="20"/>
        </w:rPr>
        <w:t xml:space="preserve">share of the investee’s net </w:t>
      </w:r>
      <w:r w:rsidR="003D6503">
        <w:rPr>
          <w:rFonts w:ascii="Arial" w:hAnsi="Arial" w:cs="Arial"/>
          <w:sz w:val="20"/>
        </w:rPr>
        <w:t xml:space="preserve">income </w:t>
      </w:r>
      <w:r>
        <w:rPr>
          <w:rFonts w:ascii="Arial" w:hAnsi="Arial" w:cs="Arial"/>
          <w:sz w:val="20"/>
        </w:rPr>
        <w:t xml:space="preserve">or losses in other (income) </w:t>
      </w:r>
      <w:proofErr w:type="gramStart"/>
      <w:r>
        <w:rPr>
          <w:rFonts w:ascii="Arial" w:hAnsi="Arial" w:cs="Arial"/>
          <w:sz w:val="20"/>
        </w:rPr>
        <w:t>loss</w:t>
      </w:r>
      <w:proofErr w:type="gramEnd"/>
      <w:r w:rsidRPr="001848C6">
        <w:rPr>
          <w:rFonts w:ascii="Arial" w:hAnsi="Arial" w:cs="Arial"/>
          <w:sz w:val="20"/>
        </w:rPr>
        <w:t>.</w:t>
      </w:r>
      <w:r w:rsidR="003D6503" w:rsidRPr="001848C6">
        <w:rPr>
          <w:rFonts w:ascii="Arial" w:hAnsi="Arial" w:cs="Arial"/>
          <w:sz w:val="20"/>
        </w:rPr>
        <w:t xml:space="preserve"> If the fair value of the investment falls below </w:t>
      </w:r>
      <w:proofErr w:type="gramStart"/>
      <w:r w:rsidR="003D6503" w:rsidRPr="001848C6">
        <w:rPr>
          <w:rFonts w:ascii="Arial" w:hAnsi="Arial" w:cs="Arial"/>
          <w:sz w:val="20"/>
        </w:rPr>
        <w:t>its</w:t>
      </w:r>
      <w:proofErr w:type="gramEnd"/>
      <w:r w:rsidR="003D6503" w:rsidRPr="001848C6">
        <w:rPr>
          <w:rFonts w:ascii="Arial" w:hAnsi="Arial" w:cs="Arial"/>
          <w:sz w:val="20"/>
        </w:rPr>
        <w:t xml:space="preserve"> carrying amount, this may indicate </w:t>
      </w:r>
      <w:r w:rsidR="001848C6" w:rsidRPr="001848C6">
        <w:rPr>
          <w:rFonts w:ascii="Arial" w:hAnsi="Arial" w:cs="Arial"/>
          <w:sz w:val="20"/>
        </w:rPr>
        <w:t xml:space="preserve">a loss in value of the investment. If the decrease in value of the investment is other than temporary, then an </w:t>
      </w:r>
      <w:r w:rsidR="003D6503" w:rsidRPr="001848C6">
        <w:rPr>
          <w:rFonts w:ascii="Arial" w:hAnsi="Arial" w:cs="Arial"/>
          <w:sz w:val="20"/>
        </w:rPr>
        <w:t>impairment loss should be recorded</w:t>
      </w:r>
      <w:r w:rsidR="001848C6" w:rsidRPr="001848C6">
        <w:rPr>
          <w:rFonts w:ascii="Arial" w:hAnsi="Arial" w:cs="Arial"/>
          <w:sz w:val="20"/>
        </w:rPr>
        <w:t xml:space="preserve"> (as the excess of the carrying value of the investment over its fair value)</w:t>
      </w:r>
      <w:r w:rsidR="003D6503" w:rsidRPr="001848C6">
        <w:rPr>
          <w:rFonts w:ascii="Arial" w:hAnsi="Arial" w:cs="Arial"/>
          <w:sz w:val="20"/>
        </w:rPr>
        <w:t>. Any impairment loss recognized is not reversed in subsequent periods.</w:t>
      </w:r>
      <w:r w:rsidRPr="001848C6">
        <w:rPr>
          <w:rFonts w:ascii="Arial" w:hAnsi="Arial" w:cs="Arial"/>
          <w:sz w:val="20"/>
        </w:rPr>
        <w:t xml:space="preserve"> </w:t>
      </w:r>
    </w:p>
    <w:p w14:paraId="5EA9CEFE" w14:textId="53A971E5" w:rsidR="00F93ACD" w:rsidRDefault="00BC63E6" w:rsidP="001848C6">
      <w:pPr>
        <w:pStyle w:val="ListParagraph"/>
        <w:numPr>
          <w:ilvl w:val="0"/>
          <w:numId w:val="43"/>
        </w:numPr>
        <w:spacing w:line="0" w:lineRule="atLeast"/>
        <w:contextualSpacing/>
        <w:jc w:val="both"/>
        <w:rPr>
          <w:rFonts w:ascii="Arial" w:hAnsi="Arial" w:cs="Arial"/>
          <w:sz w:val="20"/>
        </w:rPr>
      </w:pPr>
      <w:r w:rsidRPr="00D43D29">
        <w:rPr>
          <w:rFonts w:ascii="Arial" w:hAnsi="Arial" w:cs="Arial"/>
          <w:sz w:val="20"/>
          <w:u w:val="single"/>
        </w:rPr>
        <w:t>All other investments</w:t>
      </w:r>
      <w:r>
        <w:rPr>
          <w:rFonts w:ascii="Arial" w:hAnsi="Arial" w:cs="Arial"/>
          <w:sz w:val="20"/>
        </w:rPr>
        <w:t xml:space="preserve"> (i.e., </w:t>
      </w:r>
      <w:r w:rsidR="005800E8">
        <w:rPr>
          <w:rFonts w:ascii="Arial" w:hAnsi="Arial" w:cs="Arial"/>
          <w:sz w:val="20"/>
        </w:rPr>
        <w:t xml:space="preserve">business combination </w:t>
      </w:r>
      <w:r>
        <w:rPr>
          <w:rFonts w:ascii="Arial" w:hAnsi="Arial" w:cs="Arial"/>
          <w:sz w:val="20"/>
        </w:rPr>
        <w:t xml:space="preserve">and equity </w:t>
      </w:r>
      <w:proofErr w:type="gramStart"/>
      <w:r>
        <w:rPr>
          <w:rFonts w:ascii="Arial" w:hAnsi="Arial" w:cs="Arial"/>
          <w:sz w:val="20"/>
        </w:rPr>
        <w:t xml:space="preserve">method </w:t>
      </w:r>
      <w:r w:rsidR="005800E8">
        <w:rPr>
          <w:rFonts w:ascii="Arial" w:hAnsi="Arial" w:cs="Arial"/>
          <w:sz w:val="20"/>
        </w:rPr>
        <w:t>accounting</w:t>
      </w:r>
      <w:proofErr w:type="gramEnd"/>
      <w:r w:rsidR="005800E8">
        <w:rPr>
          <w:rFonts w:ascii="Arial" w:hAnsi="Arial" w:cs="Arial"/>
          <w:sz w:val="20"/>
        </w:rPr>
        <w:t xml:space="preserve"> </w:t>
      </w:r>
      <w:proofErr w:type="gramStart"/>
      <w:r>
        <w:rPr>
          <w:rFonts w:ascii="Arial" w:hAnsi="Arial" w:cs="Arial"/>
          <w:sz w:val="20"/>
        </w:rPr>
        <w:t>does</w:t>
      </w:r>
      <w:proofErr w:type="gramEnd"/>
      <w:r>
        <w:rPr>
          <w:rFonts w:ascii="Arial" w:hAnsi="Arial" w:cs="Arial"/>
          <w:sz w:val="20"/>
        </w:rPr>
        <w:t xml:space="preserve"> not apply) f</w:t>
      </w:r>
      <w:r w:rsidR="006C4009">
        <w:rPr>
          <w:rFonts w:ascii="Arial" w:hAnsi="Arial" w:cs="Arial"/>
          <w:sz w:val="20"/>
        </w:rPr>
        <w:t xml:space="preserve">or which we record at fair </w:t>
      </w:r>
      <w:proofErr w:type="gramStart"/>
      <w:r w:rsidR="006C4009">
        <w:rPr>
          <w:rFonts w:ascii="Arial" w:hAnsi="Arial" w:cs="Arial"/>
          <w:sz w:val="20"/>
        </w:rPr>
        <w:t>value</w:t>
      </w:r>
      <w:proofErr w:type="gramEnd"/>
      <w:r w:rsidR="006C4009">
        <w:rPr>
          <w:rFonts w:ascii="Arial" w:hAnsi="Arial" w:cs="Arial"/>
          <w:sz w:val="20"/>
        </w:rPr>
        <w:t xml:space="preserve"> which is typically the cost of the investment. The fair value of these i</w:t>
      </w:r>
      <w:r w:rsidR="00F93ACD" w:rsidRPr="00F93ACD">
        <w:rPr>
          <w:rFonts w:ascii="Arial" w:hAnsi="Arial" w:cs="Arial"/>
          <w:sz w:val="20"/>
        </w:rPr>
        <w:t>nvestment</w:t>
      </w:r>
      <w:r w:rsidR="006C4009">
        <w:rPr>
          <w:rFonts w:ascii="Arial" w:hAnsi="Arial" w:cs="Arial"/>
          <w:sz w:val="20"/>
        </w:rPr>
        <w:t>s</w:t>
      </w:r>
      <w:r w:rsidR="00F93ACD" w:rsidRPr="00F93ACD">
        <w:rPr>
          <w:rFonts w:ascii="Arial" w:hAnsi="Arial" w:cs="Arial"/>
          <w:sz w:val="20"/>
        </w:rPr>
        <w:t xml:space="preserve"> </w:t>
      </w:r>
      <w:r w:rsidR="005323FA">
        <w:rPr>
          <w:rFonts w:ascii="Arial" w:hAnsi="Arial" w:cs="Arial"/>
          <w:sz w:val="20"/>
        </w:rPr>
        <w:t>is</w:t>
      </w:r>
      <w:r w:rsidR="006C4009">
        <w:rPr>
          <w:rFonts w:ascii="Arial" w:hAnsi="Arial" w:cs="Arial"/>
          <w:sz w:val="20"/>
        </w:rPr>
        <w:t xml:space="preserve"> to be assessed quarterly.  For those that </w:t>
      </w:r>
      <w:r w:rsidR="00F93ACD" w:rsidRPr="00F93ACD">
        <w:rPr>
          <w:rFonts w:ascii="Arial" w:hAnsi="Arial" w:cs="Arial"/>
          <w:sz w:val="20"/>
        </w:rPr>
        <w:t>do not have a readily determinable fair value</w:t>
      </w:r>
      <w:r w:rsidR="006C4009">
        <w:rPr>
          <w:rFonts w:ascii="Arial" w:hAnsi="Arial" w:cs="Arial"/>
          <w:sz w:val="20"/>
        </w:rPr>
        <w:t xml:space="preserve">, use </w:t>
      </w:r>
      <w:r w:rsidR="00F93ACD" w:rsidRPr="00F93ACD">
        <w:rPr>
          <w:rFonts w:ascii="Arial" w:hAnsi="Arial" w:cs="Arial"/>
          <w:sz w:val="20"/>
        </w:rPr>
        <w:t xml:space="preserve">the measurement alternative, </w:t>
      </w:r>
      <w:r w:rsidR="00876685">
        <w:rPr>
          <w:rFonts w:ascii="Arial" w:hAnsi="Arial" w:cs="Arial"/>
          <w:sz w:val="20"/>
        </w:rPr>
        <w:t xml:space="preserve">which is to record </w:t>
      </w:r>
      <w:r w:rsidR="00F93ACD" w:rsidRPr="00F93ACD">
        <w:rPr>
          <w:rFonts w:ascii="Arial" w:hAnsi="Arial" w:cs="Arial"/>
          <w:sz w:val="20"/>
        </w:rPr>
        <w:t>the investment at cost, less any impairment, plus or minus any changes resulting from observable price changes in orderly transactions for an identical or similar investment of the same issuer.</w:t>
      </w:r>
    </w:p>
    <w:p w14:paraId="56E258DB" w14:textId="77777777" w:rsidR="00DF7DFD" w:rsidRDefault="00DF7DFD" w:rsidP="00710E7B">
      <w:pPr>
        <w:pStyle w:val="ListParagraph"/>
        <w:spacing w:line="0" w:lineRule="atLeast"/>
        <w:rPr>
          <w:rFonts w:ascii="Arial" w:hAnsi="Arial" w:cs="Arial"/>
          <w:sz w:val="20"/>
        </w:rPr>
      </w:pPr>
    </w:p>
    <w:p w14:paraId="4477A100" w14:textId="77777777" w:rsidR="00DF7DFD" w:rsidRDefault="00F62BB8" w:rsidP="00710E7B">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72" w:name="_Accounts_Payable"/>
      <w:bookmarkEnd w:id="72"/>
      <w:r>
        <w:rPr>
          <w:rFonts w:ascii="Century Gothic" w:hAnsi="Century Gothic" w:cs="Arial"/>
          <w:bCs w:val="0"/>
          <w:sz w:val="20"/>
        </w:rPr>
        <w:t>Accounts Payable</w:t>
      </w:r>
    </w:p>
    <w:p w14:paraId="3C6855DE" w14:textId="285641C0" w:rsidR="00DF7DFD" w:rsidRDefault="00F62BB8" w:rsidP="00710E7B">
      <w:pPr>
        <w:pStyle w:val="ListParagraph"/>
        <w:spacing w:line="0" w:lineRule="atLeast"/>
        <w:ind w:left="360"/>
        <w:contextualSpacing/>
        <w:jc w:val="both"/>
        <w:rPr>
          <w:rFonts w:ascii="Arial" w:hAnsi="Arial" w:cs="Arial"/>
          <w:sz w:val="20"/>
        </w:rPr>
      </w:pPr>
      <w:r>
        <w:rPr>
          <w:rFonts w:ascii="Arial" w:hAnsi="Arial" w:cs="Arial"/>
          <w:sz w:val="20"/>
        </w:rPr>
        <w:t>The Accounts Payable (AP) team is responsible for ensuring all funds are disbursed and recorded in accordance with Company policy.  In addition, AP is responsible for auditing and processing all invoices for payments.</w:t>
      </w:r>
      <w:bookmarkStart w:id="73" w:name="_Toc308509456"/>
      <w:bookmarkStart w:id="74" w:name="_Toc217460911"/>
      <w:r>
        <w:rPr>
          <w:rFonts w:ascii="Arial" w:hAnsi="Arial" w:cs="Arial"/>
          <w:sz w:val="20"/>
        </w:rPr>
        <w:t xml:space="preserve">  </w:t>
      </w:r>
    </w:p>
    <w:p w14:paraId="09B2E976" w14:textId="77777777" w:rsidR="00DF7DFD" w:rsidRDefault="00DF7DFD" w:rsidP="00710E7B">
      <w:pPr>
        <w:pStyle w:val="ListParagraph"/>
        <w:spacing w:line="0" w:lineRule="atLeast"/>
        <w:ind w:left="360"/>
        <w:contextualSpacing/>
        <w:jc w:val="both"/>
        <w:rPr>
          <w:rFonts w:ascii="Arial" w:hAnsi="Arial" w:cs="Arial"/>
          <w:sz w:val="20"/>
        </w:rPr>
      </w:pPr>
    </w:p>
    <w:p w14:paraId="2FB3161B" w14:textId="77777777" w:rsidR="00DF7DFD"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Employees are responsible for ensuring invoices reach the AP department in a timely manner with sufficient information including:</w:t>
      </w:r>
    </w:p>
    <w:p w14:paraId="0463D32B" w14:textId="77777777" w:rsidR="00DF7DFD" w:rsidRDefault="00F62BB8" w:rsidP="00DC178B">
      <w:pPr>
        <w:numPr>
          <w:ilvl w:val="0"/>
          <w:numId w:val="15"/>
        </w:numPr>
        <w:spacing w:line="0" w:lineRule="atLeast"/>
        <w:jc w:val="both"/>
        <w:rPr>
          <w:rFonts w:ascii="Arial" w:hAnsi="Arial" w:cs="Arial"/>
          <w:sz w:val="20"/>
        </w:rPr>
      </w:pPr>
      <w:r>
        <w:rPr>
          <w:rFonts w:ascii="Arial" w:hAnsi="Arial" w:cs="Arial"/>
          <w:sz w:val="20"/>
        </w:rPr>
        <w:t>Cost Center</w:t>
      </w:r>
    </w:p>
    <w:p w14:paraId="04A8C56F" w14:textId="77777777" w:rsidR="00DF7DFD" w:rsidRDefault="00F62BB8" w:rsidP="00DC178B">
      <w:pPr>
        <w:numPr>
          <w:ilvl w:val="0"/>
          <w:numId w:val="15"/>
        </w:numPr>
        <w:spacing w:line="0" w:lineRule="atLeast"/>
        <w:jc w:val="both"/>
        <w:rPr>
          <w:rFonts w:ascii="Arial" w:hAnsi="Arial" w:cs="Arial"/>
          <w:sz w:val="20"/>
        </w:rPr>
      </w:pPr>
      <w:r>
        <w:rPr>
          <w:rFonts w:ascii="Arial" w:hAnsi="Arial" w:cs="Arial"/>
          <w:sz w:val="20"/>
        </w:rPr>
        <w:t>General Ledger Account</w:t>
      </w:r>
    </w:p>
    <w:p w14:paraId="59AAD843" w14:textId="77777777" w:rsidR="00DF7DFD" w:rsidRDefault="00F62BB8" w:rsidP="00DC178B">
      <w:pPr>
        <w:numPr>
          <w:ilvl w:val="0"/>
          <w:numId w:val="15"/>
        </w:numPr>
        <w:spacing w:line="0" w:lineRule="atLeast"/>
        <w:jc w:val="both"/>
        <w:rPr>
          <w:rFonts w:ascii="Arial" w:hAnsi="Arial" w:cs="Arial"/>
          <w:sz w:val="20"/>
        </w:rPr>
      </w:pPr>
      <w:r>
        <w:rPr>
          <w:rFonts w:ascii="Arial" w:hAnsi="Arial" w:cs="Arial"/>
          <w:sz w:val="20"/>
        </w:rPr>
        <w:t>Profit Center</w:t>
      </w:r>
    </w:p>
    <w:p w14:paraId="0A37713D" w14:textId="77777777" w:rsidR="00DF7DFD" w:rsidRDefault="00F62BB8" w:rsidP="00B5048D">
      <w:pPr>
        <w:numPr>
          <w:ilvl w:val="0"/>
          <w:numId w:val="15"/>
        </w:numPr>
        <w:spacing w:line="0" w:lineRule="atLeast"/>
        <w:jc w:val="both"/>
        <w:rPr>
          <w:rFonts w:ascii="Arial" w:hAnsi="Arial" w:cs="Arial"/>
          <w:sz w:val="20"/>
        </w:rPr>
      </w:pPr>
      <w:r>
        <w:rPr>
          <w:rFonts w:ascii="Arial" w:hAnsi="Arial" w:cs="Arial"/>
          <w:sz w:val="20"/>
        </w:rPr>
        <w:t>Internal Order Number (if applicable)</w:t>
      </w:r>
    </w:p>
    <w:p w14:paraId="0BFFDE0C" w14:textId="77777777" w:rsidR="00DF7DFD" w:rsidRDefault="00F62BB8" w:rsidP="00B5048D">
      <w:pPr>
        <w:numPr>
          <w:ilvl w:val="0"/>
          <w:numId w:val="15"/>
        </w:numPr>
        <w:spacing w:line="0" w:lineRule="atLeast"/>
        <w:jc w:val="both"/>
        <w:rPr>
          <w:rFonts w:ascii="Arial" w:hAnsi="Arial" w:cs="Arial"/>
          <w:sz w:val="20"/>
        </w:rPr>
      </w:pPr>
      <w:r>
        <w:rPr>
          <w:rFonts w:ascii="Arial" w:hAnsi="Arial" w:cs="Arial"/>
          <w:sz w:val="20"/>
        </w:rPr>
        <w:t>Signature and Job Title for appropriate level of approval</w:t>
      </w:r>
    </w:p>
    <w:p w14:paraId="71F61E44" w14:textId="77777777" w:rsidR="00DF7DFD" w:rsidRDefault="00F62BB8" w:rsidP="00B5048D">
      <w:pPr>
        <w:numPr>
          <w:ilvl w:val="0"/>
          <w:numId w:val="15"/>
        </w:numPr>
        <w:spacing w:line="0" w:lineRule="atLeast"/>
        <w:jc w:val="both"/>
        <w:rPr>
          <w:rFonts w:ascii="Arial" w:hAnsi="Arial" w:cs="Arial"/>
          <w:sz w:val="20"/>
        </w:rPr>
      </w:pPr>
      <w:r>
        <w:rPr>
          <w:rFonts w:ascii="Arial" w:hAnsi="Arial" w:cs="Arial"/>
          <w:sz w:val="20"/>
        </w:rPr>
        <w:t>Date</w:t>
      </w:r>
    </w:p>
    <w:p w14:paraId="09F4017B" w14:textId="77777777" w:rsidR="00DF7DFD" w:rsidRDefault="00F62BB8" w:rsidP="00B5048D">
      <w:pPr>
        <w:numPr>
          <w:ilvl w:val="0"/>
          <w:numId w:val="15"/>
        </w:numPr>
        <w:spacing w:line="0" w:lineRule="atLeast"/>
        <w:jc w:val="both"/>
        <w:rPr>
          <w:rFonts w:ascii="Arial" w:hAnsi="Arial" w:cs="Arial"/>
          <w:sz w:val="20"/>
        </w:rPr>
      </w:pPr>
      <w:r>
        <w:rPr>
          <w:rFonts w:ascii="Arial" w:hAnsi="Arial" w:cs="Arial"/>
          <w:sz w:val="20"/>
        </w:rPr>
        <w:t>Purchase Order (PO) Number*</w:t>
      </w:r>
    </w:p>
    <w:p w14:paraId="65A2CCB2" w14:textId="77777777" w:rsidR="00372D14" w:rsidRDefault="00372D14" w:rsidP="009D7A9F">
      <w:pPr>
        <w:spacing w:line="0" w:lineRule="atLeast"/>
        <w:jc w:val="both"/>
        <w:rPr>
          <w:rFonts w:ascii="Arial" w:hAnsi="Arial" w:cs="Arial"/>
          <w:sz w:val="20"/>
        </w:rPr>
      </w:pPr>
    </w:p>
    <w:p w14:paraId="47D4642C" w14:textId="77777777" w:rsidR="00DF7DFD" w:rsidRPr="002744D2" w:rsidRDefault="00F62BB8" w:rsidP="00B5048D">
      <w:pPr>
        <w:spacing w:line="0" w:lineRule="atLeast"/>
        <w:ind w:left="630"/>
        <w:jc w:val="both"/>
        <w:rPr>
          <w:rFonts w:ascii="Arial" w:hAnsi="Arial" w:cs="Arial"/>
          <w:i/>
          <w:sz w:val="18"/>
          <w:szCs w:val="18"/>
        </w:rPr>
      </w:pPr>
      <w:r w:rsidRPr="002744D2">
        <w:rPr>
          <w:rFonts w:ascii="Arial" w:hAnsi="Arial" w:cs="Arial"/>
          <w:i/>
          <w:sz w:val="18"/>
          <w:szCs w:val="18"/>
        </w:rPr>
        <w:t>*Required for all inventory purchases and all other general purchases and indirect materials &gt; $10,000.</w:t>
      </w:r>
    </w:p>
    <w:p w14:paraId="02254815" w14:textId="77777777" w:rsidR="00AE4DC0" w:rsidRDefault="00AE4DC0" w:rsidP="00B5048D">
      <w:pPr>
        <w:pStyle w:val="ListParagraph"/>
        <w:spacing w:line="0" w:lineRule="atLeast"/>
        <w:ind w:left="360"/>
        <w:contextualSpacing/>
        <w:jc w:val="both"/>
        <w:rPr>
          <w:rFonts w:ascii="Arial" w:hAnsi="Arial" w:cs="Arial"/>
          <w:sz w:val="20"/>
        </w:rPr>
      </w:pPr>
    </w:p>
    <w:p w14:paraId="226E0EC7" w14:textId="07A06ADE"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All </w:t>
      </w:r>
      <w:r w:rsidRPr="002D1131">
        <w:rPr>
          <w:rFonts w:ascii="Arial" w:hAnsi="Arial" w:cs="Arial"/>
          <w:sz w:val="20"/>
        </w:rPr>
        <w:t xml:space="preserve">vendor invoices should be submitted electronically to the AP department using the mailboxes, </w:t>
      </w:r>
      <w:hyperlink r:id="rId15" w:history="1">
        <w:r w:rsidRPr="002D1131">
          <w:rPr>
            <w:rFonts w:ascii="Arial" w:hAnsi="Arial" w:cs="Arial"/>
            <w:sz w:val="20"/>
          </w:rPr>
          <w:t>BioventusAP@bioventusglobal.com</w:t>
        </w:r>
      </w:hyperlink>
      <w:r w:rsidRPr="002D1131">
        <w:rPr>
          <w:rFonts w:ascii="Arial" w:hAnsi="Arial" w:cs="Arial"/>
          <w:sz w:val="20"/>
        </w:rPr>
        <w:t xml:space="preserve"> (US only) or </w:t>
      </w:r>
      <w:hyperlink r:id="rId16" w:history="1">
        <w:r w:rsidRPr="002D1131">
          <w:rPr>
            <w:rFonts w:ascii="Arial" w:hAnsi="Arial" w:cs="Arial"/>
            <w:sz w:val="20"/>
          </w:rPr>
          <w:t>accounts.payable@bioventusglobal.com</w:t>
        </w:r>
      </w:hyperlink>
      <w:r w:rsidRPr="002D1131">
        <w:rPr>
          <w:rFonts w:ascii="Arial" w:hAnsi="Arial" w:cs="Arial"/>
          <w:sz w:val="20"/>
        </w:rPr>
        <w:t xml:space="preserve"> (International only).   The</w:t>
      </w:r>
      <w:r>
        <w:rPr>
          <w:rFonts w:ascii="Arial" w:hAnsi="Arial" w:cs="Arial"/>
          <w:sz w:val="20"/>
        </w:rPr>
        <w:t xml:space="preserve"> invoice and all vendor communication </w:t>
      </w:r>
      <w:proofErr w:type="gramStart"/>
      <w:r>
        <w:rPr>
          <w:rFonts w:ascii="Arial" w:hAnsi="Arial" w:cs="Arial"/>
          <w:sz w:val="20"/>
        </w:rPr>
        <w:t>is</w:t>
      </w:r>
      <w:proofErr w:type="gramEnd"/>
      <w:r>
        <w:rPr>
          <w:rFonts w:ascii="Arial" w:hAnsi="Arial" w:cs="Arial"/>
          <w:sz w:val="20"/>
        </w:rPr>
        <w:t xml:space="preserve"> scanned and attached to the vendor payable entry in SAP.  If the proper information is not provided to AP to process the invoice, the invoice will be returned to the approving employee with notification to provide the missing information.</w:t>
      </w:r>
    </w:p>
    <w:p w14:paraId="7339A1E9" w14:textId="77777777" w:rsidR="00DF7DFD" w:rsidRDefault="00DF7DFD" w:rsidP="00B5048D">
      <w:pPr>
        <w:pStyle w:val="Heading2"/>
        <w:spacing w:line="0" w:lineRule="atLeast"/>
        <w:ind w:left="360" w:hanging="270"/>
        <w:rPr>
          <w:rFonts w:ascii="Arial" w:hAnsi="Arial" w:cs="Arial"/>
          <w:b w:val="0"/>
          <w:sz w:val="20"/>
        </w:rPr>
      </w:pPr>
    </w:p>
    <w:p w14:paraId="05055BA3" w14:textId="77777777" w:rsidR="00DF7DFD" w:rsidRDefault="00F62BB8" w:rsidP="00B5048D">
      <w:pPr>
        <w:pStyle w:val="ListParagraph"/>
        <w:spacing w:line="0" w:lineRule="atLeast"/>
        <w:ind w:left="360" w:hanging="270"/>
        <w:contextualSpacing/>
        <w:jc w:val="both"/>
        <w:rPr>
          <w:rFonts w:ascii="Arial" w:hAnsi="Arial" w:cs="Arial"/>
          <w:sz w:val="20"/>
        </w:rPr>
      </w:pPr>
      <w:r>
        <w:rPr>
          <w:rFonts w:ascii="Arial" w:hAnsi="Arial" w:cs="Arial"/>
        </w:rPr>
        <w:tab/>
      </w:r>
      <w:r>
        <w:rPr>
          <w:rFonts w:ascii="Arial" w:hAnsi="Arial" w:cs="Arial"/>
          <w:sz w:val="20"/>
        </w:rPr>
        <w:t xml:space="preserve">All vendors must exist in the Company’s ERP system, SAP, before POs can be created or invoices processed.  The business purpose determines the process.  AP obtains new vendor information from Procurement, for indirect </w:t>
      </w:r>
      <w:proofErr w:type="gramStart"/>
      <w:r>
        <w:rPr>
          <w:rFonts w:ascii="Arial" w:hAnsi="Arial" w:cs="Arial"/>
          <w:sz w:val="20"/>
        </w:rPr>
        <w:t>spend</w:t>
      </w:r>
      <w:proofErr w:type="gramEnd"/>
      <w:r>
        <w:rPr>
          <w:rFonts w:ascii="Arial" w:hAnsi="Arial" w:cs="Arial"/>
          <w:sz w:val="20"/>
        </w:rPr>
        <w:t xml:space="preserve">, or the Quality Operations Engineer, for direct </w:t>
      </w:r>
      <w:proofErr w:type="gramStart"/>
      <w:r>
        <w:rPr>
          <w:rFonts w:ascii="Arial" w:hAnsi="Arial" w:cs="Arial"/>
          <w:sz w:val="20"/>
        </w:rPr>
        <w:t>spend</w:t>
      </w:r>
      <w:proofErr w:type="gramEnd"/>
      <w:r>
        <w:rPr>
          <w:rFonts w:ascii="Arial" w:hAnsi="Arial" w:cs="Arial"/>
          <w:sz w:val="20"/>
        </w:rPr>
        <w:t>. When the new vendor is finalized in SAP, the AP Manager will review, approve and notify the party awaiting the new vendor number.  The completed IRS form W-9 or W-8, Request for Taxpayer Identification, is included in new vendor creation process to ensure proper tax reporting occurs at year end (1099s).</w:t>
      </w:r>
    </w:p>
    <w:p w14:paraId="060B616B" w14:textId="42CD4BD3" w:rsidR="009E477C" w:rsidRDefault="009E477C" w:rsidP="00B5048D">
      <w:pPr>
        <w:rPr>
          <w:rFonts w:ascii="Arial" w:hAnsi="Arial" w:cs="Arial"/>
          <w:sz w:val="20"/>
          <w:szCs w:val="24"/>
        </w:rPr>
      </w:pPr>
    </w:p>
    <w:p w14:paraId="1101DB27" w14:textId="17E34CF0"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All invoices submitted to AP must have approval from the proper level of authority.  The limits are approved by the AC and below are the current spending approval limits:  </w:t>
      </w:r>
    </w:p>
    <w:p w14:paraId="6E392307" w14:textId="66B34B10" w:rsidR="009E477C" w:rsidRDefault="009E477C" w:rsidP="00B5048D">
      <w:pPr>
        <w:pStyle w:val="ListParagraph"/>
        <w:spacing w:line="0" w:lineRule="atLeast"/>
        <w:ind w:left="360"/>
        <w:contextualSpacing/>
        <w:jc w:val="both"/>
        <w:rPr>
          <w:rFonts w:ascii="Arial" w:hAnsi="Arial" w:cs="Arial"/>
          <w:sz w:val="20"/>
        </w:rPr>
      </w:pPr>
    </w:p>
    <w:tbl>
      <w:tblPr>
        <w:tblStyle w:val="GridTable4-Accent1"/>
        <w:tblW w:w="8360" w:type="dxa"/>
        <w:tblInd w:w="613" w:type="dxa"/>
        <w:tblLook w:val="04A0" w:firstRow="1" w:lastRow="0" w:firstColumn="1" w:lastColumn="0" w:noHBand="0" w:noVBand="1"/>
      </w:tblPr>
      <w:tblGrid>
        <w:gridCol w:w="3160"/>
        <w:gridCol w:w="2600"/>
        <w:gridCol w:w="2600"/>
      </w:tblGrid>
      <w:tr w:rsidR="00DF7DFD" w14:paraId="66350935" w14:textId="77777777" w:rsidTr="00710E7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50F56E9C" w14:textId="77777777" w:rsidR="00DF7DFD" w:rsidRPr="00393CBC" w:rsidRDefault="00F62BB8">
            <w:pPr>
              <w:jc w:val="center"/>
              <w:rPr>
                <w:rFonts w:ascii="Arial" w:hAnsi="Arial" w:cs="Arial"/>
                <w:bCs w:val="0"/>
                <w:color w:val="000000"/>
                <w:sz w:val="20"/>
              </w:rPr>
            </w:pPr>
            <w:r w:rsidRPr="00393CBC">
              <w:rPr>
                <w:rFonts w:ascii="Arial" w:hAnsi="Arial" w:cs="Arial"/>
                <w:bCs w:val="0"/>
                <w:color w:val="000000"/>
                <w:sz w:val="20"/>
              </w:rPr>
              <w:t>Approver</w:t>
            </w:r>
          </w:p>
        </w:tc>
        <w:tc>
          <w:tcPr>
            <w:tcW w:w="2600" w:type="dxa"/>
            <w:hideMark/>
          </w:tcPr>
          <w:p w14:paraId="72A144BD" w14:textId="77777777" w:rsidR="00DF7DFD" w:rsidRPr="00393CBC" w:rsidRDefault="00F62BB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rPr>
            </w:pPr>
            <w:r w:rsidRPr="00393CBC">
              <w:rPr>
                <w:rFonts w:ascii="Arial" w:hAnsi="Arial" w:cs="Arial"/>
                <w:bCs w:val="0"/>
                <w:color w:val="000000"/>
                <w:sz w:val="20"/>
              </w:rPr>
              <w:t>Expense Items</w:t>
            </w:r>
          </w:p>
        </w:tc>
        <w:tc>
          <w:tcPr>
            <w:tcW w:w="2600" w:type="dxa"/>
            <w:hideMark/>
          </w:tcPr>
          <w:p w14:paraId="2FD70058" w14:textId="77777777" w:rsidR="00DF7DFD" w:rsidRPr="00393CBC" w:rsidRDefault="00F62BB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rPr>
            </w:pPr>
            <w:r w:rsidRPr="00393CBC">
              <w:rPr>
                <w:rFonts w:ascii="Arial" w:hAnsi="Arial" w:cs="Arial"/>
                <w:bCs w:val="0"/>
                <w:color w:val="000000"/>
                <w:sz w:val="20"/>
              </w:rPr>
              <w:t>Capital Expenditures</w:t>
            </w:r>
          </w:p>
        </w:tc>
      </w:tr>
      <w:tr w:rsidR="00DF7DFD" w14:paraId="3CECDEBE" w14:textId="77777777" w:rsidTr="00710E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1BAF1CE9" w14:textId="77777777" w:rsidR="00DF7DFD" w:rsidRDefault="00F62BB8">
            <w:pPr>
              <w:jc w:val="both"/>
              <w:rPr>
                <w:rFonts w:ascii="Arial" w:hAnsi="Arial" w:cs="Arial"/>
                <w:color w:val="000000"/>
                <w:sz w:val="20"/>
              </w:rPr>
            </w:pPr>
            <w:r>
              <w:rPr>
                <w:rFonts w:ascii="Arial" w:hAnsi="Arial" w:cs="Arial"/>
                <w:color w:val="000000"/>
                <w:sz w:val="20"/>
              </w:rPr>
              <w:t>Manager</w:t>
            </w:r>
          </w:p>
        </w:tc>
        <w:tc>
          <w:tcPr>
            <w:tcW w:w="2600" w:type="dxa"/>
            <w:hideMark/>
          </w:tcPr>
          <w:p w14:paraId="27F4C447" w14:textId="77777777" w:rsidR="00DF7DFD" w:rsidRDefault="00F62B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Up to $5,000</w:t>
            </w:r>
          </w:p>
        </w:tc>
        <w:tc>
          <w:tcPr>
            <w:tcW w:w="2600" w:type="dxa"/>
            <w:hideMark/>
          </w:tcPr>
          <w:p w14:paraId="741AA305" w14:textId="77777777" w:rsidR="00DF7DFD" w:rsidRDefault="00F62B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Up to $5,000</w:t>
            </w:r>
          </w:p>
        </w:tc>
      </w:tr>
      <w:tr w:rsidR="00DF7DFD" w14:paraId="3008B981" w14:textId="77777777" w:rsidTr="00710E7B">
        <w:trPr>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6629F676" w14:textId="77777777" w:rsidR="00DF7DFD" w:rsidRDefault="00F62BB8">
            <w:pPr>
              <w:jc w:val="both"/>
              <w:rPr>
                <w:rFonts w:ascii="Arial" w:hAnsi="Arial" w:cs="Arial"/>
                <w:color w:val="000000"/>
                <w:sz w:val="20"/>
              </w:rPr>
            </w:pPr>
            <w:r>
              <w:rPr>
                <w:rFonts w:ascii="Arial" w:hAnsi="Arial" w:cs="Arial"/>
                <w:color w:val="000000"/>
                <w:sz w:val="20"/>
              </w:rPr>
              <w:t>Director/Controller</w:t>
            </w:r>
          </w:p>
        </w:tc>
        <w:tc>
          <w:tcPr>
            <w:tcW w:w="2600" w:type="dxa"/>
            <w:hideMark/>
          </w:tcPr>
          <w:p w14:paraId="72E10C18" w14:textId="77777777" w:rsidR="00DF7DFD" w:rsidRDefault="00F62B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Up to $50,000</w:t>
            </w:r>
          </w:p>
        </w:tc>
        <w:tc>
          <w:tcPr>
            <w:tcW w:w="2600" w:type="dxa"/>
            <w:hideMark/>
          </w:tcPr>
          <w:p w14:paraId="3E99DEE4" w14:textId="77777777" w:rsidR="00DF7DFD" w:rsidRDefault="00F62B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Up to $50,000</w:t>
            </w:r>
          </w:p>
        </w:tc>
      </w:tr>
      <w:tr w:rsidR="00DF7DFD" w14:paraId="2759045E" w14:textId="77777777" w:rsidTr="00710E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59C15A2F" w14:textId="77777777" w:rsidR="00DF7DFD" w:rsidRDefault="00F62BB8">
            <w:pPr>
              <w:jc w:val="both"/>
              <w:rPr>
                <w:rFonts w:ascii="Arial" w:hAnsi="Arial" w:cs="Arial"/>
                <w:color w:val="000000"/>
                <w:sz w:val="20"/>
              </w:rPr>
            </w:pPr>
            <w:r>
              <w:rPr>
                <w:rFonts w:ascii="Arial" w:hAnsi="Arial" w:cs="Arial"/>
                <w:color w:val="000000"/>
                <w:sz w:val="20"/>
              </w:rPr>
              <w:t>Vice President</w:t>
            </w:r>
          </w:p>
        </w:tc>
        <w:tc>
          <w:tcPr>
            <w:tcW w:w="2600" w:type="dxa"/>
            <w:hideMark/>
          </w:tcPr>
          <w:p w14:paraId="69ADB27C" w14:textId="77777777" w:rsidR="00DF7DFD" w:rsidRDefault="00F62B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Up to $250,000</w:t>
            </w:r>
          </w:p>
        </w:tc>
        <w:tc>
          <w:tcPr>
            <w:tcW w:w="2600" w:type="dxa"/>
            <w:hideMark/>
          </w:tcPr>
          <w:p w14:paraId="47A53116" w14:textId="77777777" w:rsidR="00DF7DFD" w:rsidRDefault="00F62B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Up to $250,000</w:t>
            </w:r>
          </w:p>
        </w:tc>
      </w:tr>
      <w:tr w:rsidR="00033E2A" w14:paraId="4836F4DF" w14:textId="77777777" w:rsidTr="00710E7B">
        <w:trPr>
          <w:trHeight w:val="315"/>
        </w:trPr>
        <w:tc>
          <w:tcPr>
            <w:cnfStyle w:val="001000000000" w:firstRow="0" w:lastRow="0" w:firstColumn="1" w:lastColumn="0" w:oddVBand="0" w:evenVBand="0" w:oddHBand="0" w:evenHBand="0" w:firstRowFirstColumn="0" w:firstRowLastColumn="0" w:lastRowFirstColumn="0" w:lastRowLastColumn="0"/>
            <w:tcW w:w="3160" w:type="dxa"/>
          </w:tcPr>
          <w:p w14:paraId="54353F98" w14:textId="2656B9D1" w:rsidR="00033E2A" w:rsidRDefault="00033E2A" w:rsidP="00033E2A">
            <w:pPr>
              <w:jc w:val="both"/>
              <w:rPr>
                <w:rFonts w:ascii="Arial" w:hAnsi="Arial" w:cs="Arial"/>
                <w:color w:val="000000"/>
                <w:sz w:val="20"/>
              </w:rPr>
            </w:pPr>
            <w:r>
              <w:rPr>
                <w:rFonts w:ascii="Arial" w:hAnsi="Arial" w:cs="Arial"/>
                <w:color w:val="000000"/>
                <w:sz w:val="20"/>
              </w:rPr>
              <w:t>Senior Vice President or Vice President – Accounting or Vice President – Finance</w:t>
            </w:r>
          </w:p>
        </w:tc>
        <w:tc>
          <w:tcPr>
            <w:tcW w:w="2600" w:type="dxa"/>
          </w:tcPr>
          <w:p w14:paraId="19D588B5" w14:textId="68233CB9" w:rsidR="00033E2A" w:rsidRDefault="00033E2A" w:rsidP="00033E2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Up to $1,000,000</w:t>
            </w:r>
          </w:p>
        </w:tc>
        <w:tc>
          <w:tcPr>
            <w:tcW w:w="2600" w:type="dxa"/>
          </w:tcPr>
          <w:p w14:paraId="2FEA3D1B" w14:textId="2ADD6F15" w:rsidR="00033E2A" w:rsidRDefault="00033E2A" w:rsidP="00033E2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Up to $1,000,000</w:t>
            </w:r>
          </w:p>
        </w:tc>
      </w:tr>
      <w:tr w:rsidR="00DF7DFD" w14:paraId="55CB1DF0" w14:textId="77777777" w:rsidTr="00710E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1D0948CA" w14:textId="0779BC17" w:rsidR="00DF7DFD" w:rsidRDefault="00F62BB8">
            <w:pPr>
              <w:jc w:val="both"/>
              <w:rPr>
                <w:rFonts w:ascii="Arial" w:hAnsi="Arial" w:cs="Arial"/>
                <w:color w:val="000000"/>
                <w:sz w:val="20"/>
              </w:rPr>
            </w:pPr>
            <w:r>
              <w:rPr>
                <w:rFonts w:ascii="Arial" w:hAnsi="Arial" w:cs="Arial"/>
                <w:color w:val="000000"/>
                <w:sz w:val="20"/>
              </w:rPr>
              <w:t xml:space="preserve">Chief </w:t>
            </w:r>
            <w:r w:rsidR="002D7892">
              <w:rPr>
                <w:rFonts w:ascii="Arial" w:hAnsi="Arial" w:cs="Arial"/>
                <w:color w:val="000000"/>
                <w:sz w:val="20"/>
              </w:rPr>
              <w:t xml:space="preserve">Financial </w:t>
            </w:r>
            <w:r>
              <w:rPr>
                <w:rFonts w:ascii="Arial" w:hAnsi="Arial" w:cs="Arial"/>
                <w:color w:val="000000"/>
                <w:sz w:val="20"/>
              </w:rPr>
              <w:t>Officer</w:t>
            </w:r>
          </w:p>
        </w:tc>
        <w:tc>
          <w:tcPr>
            <w:tcW w:w="2600" w:type="dxa"/>
            <w:hideMark/>
          </w:tcPr>
          <w:p w14:paraId="083A4188" w14:textId="5E2CC426" w:rsidR="00DF7DFD" w:rsidRDefault="00F62BB8" w:rsidP="00033E2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Up to $</w:t>
            </w:r>
            <w:r w:rsidR="00033E2A">
              <w:rPr>
                <w:rFonts w:ascii="Arial" w:hAnsi="Arial" w:cs="Arial"/>
                <w:color w:val="000000"/>
                <w:sz w:val="20"/>
              </w:rPr>
              <w:t>5</w:t>
            </w:r>
            <w:r>
              <w:rPr>
                <w:rFonts w:ascii="Arial" w:hAnsi="Arial" w:cs="Arial"/>
                <w:color w:val="000000"/>
                <w:sz w:val="20"/>
              </w:rPr>
              <w:t>,000,000</w:t>
            </w:r>
          </w:p>
        </w:tc>
        <w:tc>
          <w:tcPr>
            <w:tcW w:w="2600" w:type="dxa"/>
            <w:hideMark/>
          </w:tcPr>
          <w:p w14:paraId="3DF0B135" w14:textId="766DCC27" w:rsidR="00DF7DFD" w:rsidRDefault="00F62BB8" w:rsidP="00033E2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Up to $</w:t>
            </w:r>
            <w:r w:rsidR="00033E2A">
              <w:rPr>
                <w:rFonts w:ascii="Arial" w:hAnsi="Arial" w:cs="Arial"/>
                <w:color w:val="000000"/>
                <w:sz w:val="20"/>
              </w:rPr>
              <w:t>5</w:t>
            </w:r>
            <w:r>
              <w:rPr>
                <w:rFonts w:ascii="Arial" w:hAnsi="Arial" w:cs="Arial"/>
                <w:color w:val="000000"/>
                <w:sz w:val="20"/>
              </w:rPr>
              <w:t>,000,000</w:t>
            </w:r>
          </w:p>
        </w:tc>
      </w:tr>
      <w:tr w:rsidR="00DF7DFD" w14:paraId="3C2572A8" w14:textId="77777777" w:rsidTr="00710E7B">
        <w:trPr>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65D1AFD0" w14:textId="77777777" w:rsidR="00DF7DFD" w:rsidRDefault="00F62BB8">
            <w:pPr>
              <w:jc w:val="both"/>
              <w:rPr>
                <w:rFonts w:ascii="Arial" w:hAnsi="Arial" w:cs="Arial"/>
                <w:color w:val="000000"/>
                <w:sz w:val="20"/>
              </w:rPr>
            </w:pPr>
            <w:r>
              <w:rPr>
                <w:rFonts w:ascii="Arial" w:hAnsi="Arial" w:cs="Arial"/>
                <w:color w:val="000000"/>
                <w:sz w:val="20"/>
              </w:rPr>
              <w:t>Chief Executive Officer</w:t>
            </w:r>
          </w:p>
        </w:tc>
        <w:tc>
          <w:tcPr>
            <w:tcW w:w="2600" w:type="dxa"/>
            <w:hideMark/>
          </w:tcPr>
          <w:p w14:paraId="3852BED7" w14:textId="77777777" w:rsidR="00DF7DFD" w:rsidRDefault="00F62B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Up to $10,000,000</w:t>
            </w:r>
          </w:p>
        </w:tc>
        <w:tc>
          <w:tcPr>
            <w:tcW w:w="2600" w:type="dxa"/>
            <w:hideMark/>
          </w:tcPr>
          <w:p w14:paraId="597016BF" w14:textId="77777777" w:rsidR="00DF7DFD" w:rsidRDefault="00F62BB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Up to $10,000,000</w:t>
            </w:r>
          </w:p>
        </w:tc>
      </w:tr>
      <w:tr w:rsidR="00DF7DFD" w14:paraId="2DCFA98B" w14:textId="77777777" w:rsidTr="00710E7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60" w:type="dxa"/>
            <w:hideMark/>
          </w:tcPr>
          <w:p w14:paraId="03AC65A3" w14:textId="573F3277" w:rsidR="00DF7DFD" w:rsidRDefault="00F62BB8">
            <w:pPr>
              <w:jc w:val="both"/>
              <w:rPr>
                <w:rFonts w:ascii="Arial" w:hAnsi="Arial" w:cs="Arial"/>
                <w:color w:val="000000"/>
                <w:sz w:val="20"/>
              </w:rPr>
            </w:pPr>
            <w:r>
              <w:rPr>
                <w:rFonts w:ascii="Arial" w:hAnsi="Arial" w:cs="Arial"/>
                <w:color w:val="000000"/>
                <w:sz w:val="20"/>
              </w:rPr>
              <w:t xml:space="preserve">Board </w:t>
            </w:r>
            <w:r w:rsidRPr="006D6003">
              <w:rPr>
                <w:rFonts w:ascii="Arial" w:hAnsi="Arial" w:cs="Arial"/>
                <w:color w:val="000000"/>
                <w:sz w:val="20"/>
              </w:rPr>
              <w:t xml:space="preserve">of </w:t>
            </w:r>
            <w:r w:rsidR="00E40B1B" w:rsidRPr="006D6003">
              <w:rPr>
                <w:rFonts w:ascii="Arial" w:hAnsi="Arial"/>
                <w:color w:val="000000"/>
                <w:sz w:val="20"/>
              </w:rPr>
              <w:t>Directors</w:t>
            </w:r>
          </w:p>
        </w:tc>
        <w:tc>
          <w:tcPr>
            <w:tcW w:w="2600" w:type="dxa"/>
            <w:hideMark/>
          </w:tcPr>
          <w:p w14:paraId="07C3C016" w14:textId="77777777" w:rsidR="00DF7DFD" w:rsidRDefault="00F62B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over $10,000,000</w:t>
            </w:r>
          </w:p>
        </w:tc>
        <w:tc>
          <w:tcPr>
            <w:tcW w:w="2600" w:type="dxa"/>
            <w:hideMark/>
          </w:tcPr>
          <w:p w14:paraId="7BACC35C" w14:textId="77777777" w:rsidR="00DF7DFD" w:rsidRDefault="00F62BB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over $10,000,000</w:t>
            </w:r>
          </w:p>
        </w:tc>
      </w:tr>
    </w:tbl>
    <w:p w14:paraId="12A7FC8F" w14:textId="77777777" w:rsidR="00DF7DFD" w:rsidRDefault="00DF7DFD" w:rsidP="000752C0">
      <w:pPr>
        <w:pStyle w:val="ListParagraph"/>
        <w:spacing w:line="0" w:lineRule="atLeast"/>
        <w:ind w:left="360"/>
        <w:contextualSpacing/>
        <w:jc w:val="both"/>
        <w:rPr>
          <w:rFonts w:ascii="Arial" w:hAnsi="Arial" w:cs="Arial"/>
          <w:sz w:val="20"/>
        </w:rPr>
      </w:pPr>
    </w:p>
    <w:p w14:paraId="5190C33A" w14:textId="2E7FD540" w:rsidR="00DF7DFD" w:rsidRDefault="00F62BB8" w:rsidP="00FC279A">
      <w:pPr>
        <w:pStyle w:val="ListParagraph"/>
        <w:spacing w:line="0" w:lineRule="atLeast"/>
        <w:ind w:left="360"/>
        <w:contextualSpacing/>
        <w:jc w:val="both"/>
        <w:rPr>
          <w:rFonts w:ascii="Arial" w:hAnsi="Arial" w:cs="Arial"/>
          <w:sz w:val="20"/>
        </w:rPr>
      </w:pPr>
      <w:r>
        <w:rPr>
          <w:rFonts w:ascii="Arial" w:hAnsi="Arial" w:cs="Arial"/>
          <w:sz w:val="20"/>
        </w:rPr>
        <w:t xml:space="preserve">The limits above for capital </w:t>
      </w:r>
      <w:proofErr w:type="gramStart"/>
      <w:r>
        <w:rPr>
          <w:rFonts w:ascii="Arial" w:hAnsi="Arial" w:cs="Arial"/>
          <w:sz w:val="20"/>
        </w:rPr>
        <w:t>expenditures</w:t>
      </w:r>
      <w:proofErr w:type="gramEnd"/>
      <w:r>
        <w:rPr>
          <w:rFonts w:ascii="Arial" w:hAnsi="Arial" w:cs="Arial"/>
          <w:sz w:val="20"/>
        </w:rPr>
        <w:t xml:space="preserve"> relate to items within the approved capital expenditure budget.  Capital expenditures for any CER </w:t>
      </w:r>
      <w:proofErr w:type="gramStart"/>
      <w:r>
        <w:rPr>
          <w:rFonts w:ascii="Arial" w:hAnsi="Arial" w:cs="Arial"/>
          <w:sz w:val="20"/>
        </w:rPr>
        <w:t>in excess of</w:t>
      </w:r>
      <w:proofErr w:type="gramEnd"/>
      <w:r>
        <w:rPr>
          <w:rFonts w:ascii="Arial" w:hAnsi="Arial" w:cs="Arial"/>
          <w:sz w:val="20"/>
        </w:rPr>
        <w:t xml:space="preserve"> the annual capital budget must be approved by the Chief Financial Officer.  Capital expenditures more than 15% over the annual capital expenditure budget must be approved by the Board of </w:t>
      </w:r>
      <w:r w:rsidR="00303390">
        <w:rPr>
          <w:rFonts w:ascii="Arial" w:hAnsi="Arial" w:cs="Arial"/>
          <w:sz w:val="20"/>
        </w:rPr>
        <w:t>Directors</w:t>
      </w:r>
      <w:r>
        <w:rPr>
          <w:rFonts w:ascii="Arial" w:hAnsi="Arial" w:cs="Arial"/>
          <w:sz w:val="20"/>
        </w:rPr>
        <w:t>.</w:t>
      </w:r>
    </w:p>
    <w:p w14:paraId="399E7AA3" w14:textId="77777777" w:rsidR="00DF7DFD" w:rsidRDefault="00DF7DFD" w:rsidP="00FC279A">
      <w:pPr>
        <w:pStyle w:val="ListParagraph"/>
        <w:spacing w:line="0" w:lineRule="atLeast"/>
        <w:ind w:left="360"/>
        <w:contextualSpacing/>
        <w:jc w:val="both"/>
        <w:rPr>
          <w:rFonts w:ascii="Arial" w:hAnsi="Arial" w:cs="Arial"/>
          <w:sz w:val="20"/>
        </w:rPr>
      </w:pPr>
    </w:p>
    <w:p w14:paraId="0FD38EA4" w14:textId="77777777" w:rsidR="00DF7DFD" w:rsidRDefault="00F62BB8" w:rsidP="00C96CD5">
      <w:pPr>
        <w:pStyle w:val="ListParagraph"/>
        <w:spacing w:line="0" w:lineRule="atLeast"/>
        <w:ind w:left="360"/>
        <w:contextualSpacing/>
        <w:jc w:val="both"/>
        <w:rPr>
          <w:rFonts w:ascii="Arial" w:hAnsi="Arial" w:cs="Arial"/>
          <w:sz w:val="20"/>
        </w:rPr>
      </w:pPr>
      <w:r>
        <w:rPr>
          <w:rFonts w:ascii="Arial" w:hAnsi="Arial" w:cs="Arial"/>
          <w:sz w:val="20"/>
        </w:rPr>
        <w:t xml:space="preserve">All inventory purchases must be purchased on a Purchase Order/Request form.  All other general purchases and indirect materials </w:t>
      </w:r>
      <w:proofErr w:type="gramStart"/>
      <w:r>
        <w:rPr>
          <w:rFonts w:ascii="Arial" w:hAnsi="Arial" w:cs="Arial"/>
          <w:sz w:val="20"/>
        </w:rPr>
        <w:t>in excess of</w:t>
      </w:r>
      <w:proofErr w:type="gramEnd"/>
      <w:r>
        <w:rPr>
          <w:rFonts w:ascii="Arial" w:hAnsi="Arial" w:cs="Arial"/>
          <w:sz w:val="20"/>
        </w:rPr>
        <w:t xml:space="preserve"> $10,000 must be purchased on a Purchase Order/Request.  When a PO is required, the employee will notify Procurement to begin the process.  In the event the person with the required authority level </w:t>
      </w:r>
      <w:proofErr w:type="gramStart"/>
      <w:r>
        <w:rPr>
          <w:rFonts w:ascii="Arial" w:hAnsi="Arial" w:cs="Arial"/>
          <w:sz w:val="20"/>
        </w:rPr>
        <w:t>in</w:t>
      </w:r>
      <w:proofErr w:type="gramEnd"/>
      <w:r>
        <w:rPr>
          <w:rFonts w:ascii="Arial" w:hAnsi="Arial" w:cs="Arial"/>
          <w:sz w:val="20"/>
        </w:rPr>
        <w:t xml:space="preserve"> unavailable, the next highest level of authority must approve. </w:t>
      </w:r>
      <w:proofErr w:type="gramStart"/>
      <w:r>
        <w:rPr>
          <w:rFonts w:ascii="Arial" w:hAnsi="Arial" w:cs="Arial"/>
          <w:sz w:val="20"/>
        </w:rPr>
        <w:t>In the event that</w:t>
      </w:r>
      <w:proofErr w:type="gramEnd"/>
      <w:r>
        <w:rPr>
          <w:rFonts w:ascii="Arial" w:hAnsi="Arial" w:cs="Arial"/>
          <w:sz w:val="20"/>
        </w:rPr>
        <w:t xml:space="preserve"> this authority level </w:t>
      </w:r>
      <w:proofErr w:type="gramStart"/>
      <w:r>
        <w:rPr>
          <w:rFonts w:ascii="Arial" w:hAnsi="Arial" w:cs="Arial"/>
          <w:sz w:val="20"/>
        </w:rPr>
        <w:t>in</w:t>
      </w:r>
      <w:proofErr w:type="gramEnd"/>
      <w:r>
        <w:rPr>
          <w:rFonts w:ascii="Arial" w:hAnsi="Arial" w:cs="Arial"/>
          <w:sz w:val="20"/>
        </w:rPr>
        <w:t xml:space="preserve"> unavailable, the next level down may approve, but this action must be subsequently approved upon return of the appropriate authority. The responsibility for obtaining signatures is that of the requester, not Accounts Payable.</w:t>
      </w:r>
    </w:p>
    <w:p w14:paraId="4213F1BC" w14:textId="77777777" w:rsidR="00DF7DFD" w:rsidRDefault="00DF7DFD" w:rsidP="00710E7B">
      <w:pPr>
        <w:pStyle w:val="ListParagraph"/>
        <w:spacing w:line="0" w:lineRule="atLeast"/>
        <w:ind w:left="360"/>
        <w:contextualSpacing/>
        <w:jc w:val="both"/>
        <w:rPr>
          <w:rFonts w:ascii="Arial" w:hAnsi="Arial" w:cs="Arial"/>
          <w:b/>
          <w:sz w:val="20"/>
        </w:rPr>
      </w:pPr>
    </w:p>
    <w:p w14:paraId="122D9011" w14:textId="4547F156" w:rsidR="00DF7DFD" w:rsidRDefault="00F62BB8" w:rsidP="00710E7B">
      <w:pPr>
        <w:pStyle w:val="ListParagraph"/>
        <w:spacing w:line="0" w:lineRule="atLeast"/>
        <w:ind w:left="360"/>
        <w:contextualSpacing/>
        <w:jc w:val="both"/>
        <w:rPr>
          <w:rFonts w:ascii="Arial" w:hAnsi="Arial" w:cs="Arial"/>
          <w:sz w:val="20"/>
        </w:rPr>
      </w:pPr>
      <w:r>
        <w:rPr>
          <w:rFonts w:ascii="Arial" w:hAnsi="Arial" w:cs="Arial"/>
          <w:sz w:val="20"/>
        </w:rPr>
        <w:t xml:space="preserve">Payments are not made on invoices requiring a supporting PO if the PO has not been approved.  AP </w:t>
      </w:r>
      <w:r w:rsidR="00033E2A">
        <w:rPr>
          <w:rFonts w:ascii="Arial" w:hAnsi="Arial" w:cs="Arial"/>
          <w:sz w:val="20"/>
        </w:rPr>
        <w:t xml:space="preserve">does not process </w:t>
      </w:r>
      <w:r>
        <w:rPr>
          <w:rFonts w:ascii="Arial" w:hAnsi="Arial" w:cs="Arial"/>
          <w:sz w:val="20"/>
        </w:rPr>
        <w:t xml:space="preserve">the invoice </w:t>
      </w:r>
      <w:r w:rsidR="00033E2A">
        <w:rPr>
          <w:rFonts w:ascii="Arial" w:hAnsi="Arial" w:cs="Arial"/>
          <w:sz w:val="20"/>
        </w:rPr>
        <w:t xml:space="preserve">for payment until the </w:t>
      </w:r>
      <w:r>
        <w:rPr>
          <w:rFonts w:ascii="Arial" w:hAnsi="Arial" w:cs="Arial"/>
          <w:sz w:val="20"/>
        </w:rPr>
        <w:t>PO has been approved</w:t>
      </w:r>
      <w:r w:rsidR="00033E2A">
        <w:rPr>
          <w:rFonts w:ascii="Arial" w:hAnsi="Arial" w:cs="Arial"/>
          <w:sz w:val="20"/>
        </w:rPr>
        <w:t xml:space="preserve"> at which time AP will process the invoice against the PO</w:t>
      </w:r>
      <w:r>
        <w:rPr>
          <w:rFonts w:ascii="Arial" w:hAnsi="Arial" w:cs="Arial"/>
          <w:sz w:val="20"/>
        </w:rPr>
        <w:t xml:space="preserve">.  Outstanding checks are reviewed </w:t>
      </w:r>
      <w:r w:rsidR="003B114F">
        <w:rPr>
          <w:rFonts w:ascii="Arial" w:hAnsi="Arial" w:cs="Arial"/>
          <w:sz w:val="20"/>
        </w:rPr>
        <w:t>monthly</w:t>
      </w:r>
      <w:r>
        <w:rPr>
          <w:rFonts w:ascii="Arial" w:hAnsi="Arial" w:cs="Arial"/>
          <w:sz w:val="20"/>
        </w:rPr>
        <w:t xml:space="preserve"> to ensure timely clearing and vendors are contacted if a check has not cleared in a timely manner.</w:t>
      </w:r>
    </w:p>
    <w:p w14:paraId="78FC9CB0" w14:textId="77777777" w:rsidR="00DF7DFD" w:rsidRDefault="00DF7DFD" w:rsidP="00DC178B">
      <w:pPr>
        <w:pStyle w:val="Heading2"/>
        <w:spacing w:line="0" w:lineRule="atLeast"/>
        <w:rPr>
          <w:rFonts w:ascii="Arial" w:hAnsi="Arial" w:cs="Arial"/>
          <w:b w:val="0"/>
          <w:sz w:val="20"/>
        </w:rPr>
      </w:pPr>
    </w:p>
    <w:p w14:paraId="0E13F4D7" w14:textId="77777777" w:rsidR="00DF7DFD" w:rsidRDefault="00F62BB8" w:rsidP="00DC178B">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75" w:name="_Accrued_Expenses"/>
      <w:bookmarkEnd w:id="73"/>
      <w:bookmarkEnd w:id="75"/>
      <w:r>
        <w:rPr>
          <w:rFonts w:ascii="Century Gothic" w:hAnsi="Century Gothic" w:cs="Arial"/>
          <w:bCs w:val="0"/>
          <w:sz w:val="20"/>
        </w:rPr>
        <w:t>Accrued Expenses</w:t>
      </w:r>
    </w:p>
    <w:p w14:paraId="2EA49AF9" w14:textId="39E48EC3" w:rsidR="00DF7DFD"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 xml:space="preserve">Accruals are to be recorded when the Company has incurred an obligation.  If an invoice has been received for services performed or goods provided but the invoice has not been entered </w:t>
      </w:r>
      <w:r w:rsidR="006D6003">
        <w:rPr>
          <w:rFonts w:ascii="Arial" w:hAnsi="Arial" w:cs="Arial"/>
          <w:sz w:val="20"/>
        </w:rPr>
        <w:t>into</w:t>
      </w:r>
      <w:r>
        <w:rPr>
          <w:rFonts w:ascii="Arial" w:hAnsi="Arial" w:cs="Arial"/>
          <w:sz w:val="20"/>
        </w:rPr>
        <w:t xml:space="preserve"> the AP system, an accrual should be recorded.  If services have been performed on the Company’s behalf and an invoice has not been received, an estimate of the expense should be </w:t>
      </w:r>
      <w:r w:rsidR="006D6003">
        <w:rPr>
          <w:rFonts w:ascii="Arial" w:hAnsi="Arial" w:cs="Arial"/>
          <w:sz w:val="20"/>
        </w:rPr>
        <w:t>made,</w:t>
      </w:r>
      <w:r>
        <w:rPr>
          <w:rFonts w:ascii="Arial" w:hAnsi="Arial" w:cs="Arial"/>
          <w:sz w:val="20"/>
        </w:rPr>
        <w:t xml:space="preserve"> and an accrual recorded.  If employee compensation and all other related benefits have been earned but not yet paid, an estimate of the expense should be made and an accrual recorded.  If cash has been obtained for which the Company must remit to a third party on behalf of an employee or another third party a</w:t>
      </w:r>
      <w:r w:rsidR="00FA1EA6">
        <w:rPr>
          <w:rFonts w:ascii="Arial" w:hAnsi="Arial" w:cs="Arial"/>
          <w:sz w:val="20"/>
        </w:rPr>
        <w:t xml:space="preserve"> liability </w:t>
      </w:r>
      <w:r>
        <w:rPr>
          <w:rFonts w:ascii="Arial" w:hAnsi="Arial" w:cs="Arial"/>
          <w:sz w:val="20"/>
        </w:rPr>
        <w:t>should be recorded.</w:t>
      </w:r>
    </w:p>
    <w:p w14:paraId="7BDA0524" w14:textId="6283ED2C" w:rsidR="00DF7DFD" w:rsidRDefault="007B424E" w:rsidP="00B5048D">
      <w:pPr>
        <w:pStyle w:val="ListParagraph"/>
        <w:rPr>
          <w:rFonts w:ascii="Arial" w:hAnsi="Arial" w:cs="Arial"/>
          <w:sz w:val="20"/>
        </w:rPr>
      </w:pPr>
      <w:r>
        <w:rPr>
          <w:rFonts w:ascii="Arial" w:hAnsi="Arial" w:cs="Arial"/>
          <w:sz w:val="20"/>
        </w:rPr>
        <w:t>`</w:t>
      </w:r>
    </w:p>
    <w:p w14:paraId="7604293D" w14:textId="3B35701F"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Arial" w:hAnsi="Arial" w:cs="Arial"/>
          <w:bCs w:val="0"/>
          <w:sz w:val="20"/>
        </w:rPr>
      </w:pPr>
      <w:bookmarkStart w:id="76" w:name="_Debt_Modification_and"/>
      <w:bookmarkEnd w:id="76"/>
      <w:r>
        <w:rPr>
          <w:rFonts w:ascii="Century Gothic" w:hAnsi="Century Gothic" w:cs="Arial"/>
          <w:bCs w:val="0"/>
          <w:sz w:val="20"/>
        </w:rPr>
        <w:t>Debt</w:t>
      </w:r>
      <w:r w:rsidR="002D1131">
        <w:rPr>
          <w:rFonts w:ascii="Century Gothic" w:hAnsi="Century Gothic" w:cs="Arial"/>
          <w:bCs w:val="0"/>
          <w:sz w:val="20"/>
        </w:rPr>
        <w:t>,</w:t>
      </w:r>
      <w:r>
        <w:rPr>
          <w:rFonts w:ascii="Century Gothic" w:hAnsi="Century Gothic" w:cs="Arial"/>
          <w:bCs w:val="0"/>
          <w:sz w:val="20"/>
        </w:rPr>
        <w:t xml:space="preserve"> Modification</w:t>
      </w:r>
      <w:r w:rsidR="002D1131">
        <w:rPr>
          <w:rFonts w:ascii="Century Gothic" w:hAnsi="Century Gothic" w:cs="Arial"/>
          <w:bCs w:val="0"/>
          <w:sz w:val="20"/>
        </w:rPr>
        <w:t>s</w:t>
      </w:r>
      <w:r>
        <w:rPr>
          <w:rFonts w:ascii="Century Gothic" w:hAnsi="Century Gothic" w:cs="Arial"/>
          <w:bCs w:val="0"/>
          <w:sz w:val="20"/>
        </w:rPr>
        <w:t xml:space="preserve"> and Extinguishment</w:t>
      </w:r>
      <w:r w:rsidR="002D1131">
        <w:rPr>
          <w:rFonts w:ascii="Century Gothic" w:hAnsi="Century Gothic" w:cs="Arial"/>
          <w:bCs w:val="0"/>
          <w:sz w:val="20"/>
        </w:rPr>
        <w:t>s</w:t>
      </w:r>
    </w:p>
    <w:p w14:paraId="18AF1069" w14:textId="10459C52" w:rsidR="00DF7DFD" w:rsidRDefault="002D1131" w:rsidP="00B5048D">
      <w:pPr>
        <w:ind w:left="360"/>
        <w:rPr>
          <w:rFonts w:ascii="Arial" w:hAnsi="Arial" w:cs="Arial"/>
          <w:sz w:val="20"/>
          <w:szCs w:val="24"/>
        </w:rPr>
      </w:pPr>
      <w:r>
        <w:rPr>
          <w:rFonts w:ascii="Arial" w:hAnsi="Arial" w:cs="Arial"/>
          <w:sz w:val="20"/>
          <w:szCs w:val="24"/>
        </w:rPr>
        <w:t>Generally</w:t>
      </w:r>
      <w:r w:rsidR="00B60FBE">
        <w:rPr>
          <w:rFonts w:ascii="Arial" w:hAnsi="Arial" w:cs="Arial"/>
          <w:sz w:val="20"/>
          <w:szCs w:val="24"/>
        </w:rPr>
        <w:t>,</w:t>
      </w:r>
      <w:r>
        <w:rPr>
          <w:rFonts w:ascii="Arial" w:hAnsi="Arial" w:cs="Arial"/>
          <w:sz w:val="20"/>
          <w:szCs w:val="24"/>
        </w:rPr>
        <w:t xml:space="preserve"> the Company</w:t>
      </w:r>
      <w:r w:rsidR="00B60FBE">
        <w:rPr>
          <w:rFonts w:ascii="Arial" w:hAnsi="Arial" w:cs="Arial"/>
          <w:sz w:val="20"/>
          <w:szCs w:val="24"/>
        </w:rPr>
        <w:t>’s debt agreements do not include terms that require special classifications.</w:t>
      </w:r>
      <w:r>
        <w:rPr>
          <w:rFonts w:ascii="Arial" w:hAnsi="Arial" w:cs="Arial"/>
          <w:sz w:val="20"/>
          <w:szCs w:val="24"/>
        </w:rPr>
        <w:t xml:space="preserve"> </w:t>
      </w:r>
      <w:r w:rsidR="00B60FBE">
        <w:rPr>
          <w:rFonts w:ascii="Arial" w:hAnsi="Arial" w:cs="Arial"/>
          <w:sz w:val="20"/>
          <w:szCs w:val="24"/>
        </w:rPr>
        <w:t>The</w:t>
      </w:r>
      <w:r w:rsidRPr="002D1131">
        <w:rPr>
          <w:rFonts w:ascii="Arial" w:hAnsi="Arial" w:cs="Arial"/>
          <w:sz w:val="20"/>
          <w:szCs w:val="24"/>
        </w:rPr>
        <w:t xml:space="preserve"> long-term obligation is ordinarily presented as noncurrent</w:t>
      </w:r>
      <w:r w:rsidR="00B60FBE">
        <w:rPr>
          <w:rFonts w:ascii="Arial" w:hAnsi="Arial" w:cs="Arial"/>
          <w:sz w:val="20"/>
          <w:szCs w:val="24"/>
        </w:rPr>
        <w:t xml:space="preserve"> and the </w:t>
      </w:r>
      <w:r w:rsidRPr="002D1131">
        <w:rPr>
          <w:rFonts w:ascii="Arial" w:hAnsi="Arial" w:cs="Arial"/>
          <w:sz w:val="20"/>
          <w:szCs w:val="24"/>
        </w:rPr>
        <w:t>short-term obligation (either by its original terms or because of a nonwaived</w:t>
      </w:r>
      <w:r w:rsidR="00B60FBE">
        <w:rPr>
          <w:rFonts w:ascii="Arial" w:hAnsi="Arial" w:cs="Arial"/>
          <w:sz w:val="20"/>
          <w:szCs w:val="24"/>
        </w:rPr>
        <w:t xml:space="preserve"> </w:t>
      </w:r>
      <w:r w:rsidRPr="002D1131">
        <w:rPr>
          <w:rFonts w:ascii="Arial" w:hAnsi="Arial" w:cs="Arial"/>
          <w:sz w:val="20"/>
          <w:szCs w:val="24"/>
        </w:rPr>
        <w:t xml:space="preserve">covenant violation), is generally presented as current. </w:t>
      </w:r>
      <w:r w:rsidR="00F62BB8">
        <w:rPr>
          <w:rFonts w:ascii="Arial" w:hAnsi="Arial" w:cs="Arial"/>
          <w:sz w:val="20"/>
          <w:szCs w:val="24"/>
        </w:rPr>
        <w:t xml:space="preserve">The Company may modify the terms of its outstanding debt by restructuring its terms or by exchanging one debt instrument for another. Depending on the extent of the changes, a debt modification may be accounted for as (1) the extinguishment of the existing debt and the issuance of new debt, or (2) a modification of the existing debt. </w:t>
      </w:r>
    </w:p>
    <w:p w14:paraId="037ED326" w14:textId="77777777" w:rsidR="00AE4DC0" w:rsidRDefault="00AE4DC0" w:rsidP="00B5048D">
      <w:pPr>
        <w:ind w:left="360"/>
        <w:rPr>
          <w:rFonts w:ascii="Arial" w:hAnsi="Arial" w:cs="Arial"/>
          <w:sz w:val="20"/>
          <w:szCs w:val="24"/>
        </w:rPr>
      </w:pPr>
    </w:p>
    <w:p w14:paraId="3C6D517D" w14:textId="77777777" w:rsidR="00DF7DFD" w:rsidRDefault="00F62BB8" w:rsidP="00B5048D">
      <w:pPr>
        <w:ind w:left="360"/>
        <w:rPr>
          <w:rFonts w:ascii="Century Gothic" w:hAnsi="Century Gothic" w:cs="Arial"/>
          <w:b/>
          <w:sz w:val="20"/>
          <w:szCs w:val="24"/>
        </w:rPr>
      </w:pPr>
      <w:r>
        <w:rPr>
          <w:rFonts w:ascii="Century Gothic" w:hAnsi="Century Gothic" w:cs="Arial"/>
          <w:b/>
          <w:sz w:val="20"/>
          <w:szCs w:val="24"/>
        </w:rPr>
        <w:t>18.1 Term Loan Modification or Extinguishment</w:t>
      </w:r>
    </w:p>
    <w:p w14:paraId="48DBEF5E" w14:textId="77777777" w:rsidR="00DF7DFD" w:rsidRDefault="00F62BB8" w:rsidP="00B5048D">
      <w:pPr>
        <w:ind w:left="360"/>
        <w:rPr>
          <w:rFonts w:ascii="Arial" w:hAnsi="Arial" w:cs="Arial"/>
          <w:sz w:val="20"/>
          <w:szCs w:val="24"/>
        </w:rPr>
      </w:pPr>
      <w:r>
        <w:rPr>
          <w:rFonts w:ascii="Arial" w:hAnsi="Arial" w:cs="Arial"/>
          <w:sz w:val="20"/>
          <w:szCs w:val="24"/>
        </w:rPr>
        <w:t xml:space="preserve">A term loan modification must first be reviewed to determine if it is a </w:t>
      </w:r>
      <w:proofErr w:type="gramStart"/>
      <w:r>
        <w:rPr>
          <w:rFonts w:ascii="Arial" w:hAnsi="Arial" w:cs="Arial"/>
          <w:sz w:val="20"/>
          <w:szCs w:val="24"/>
        </w:rPr>
        <w:t>trouble</w:t>
      </w:r>
      <w:proofErr w:type="gramEnd"/>
      <w:r>
        <w:rPr>
          <w:rFonts w:ascii="Arial" w:hAnsi="Arial" w:cs="Arial"/>
          <w:sz w:val="20"/>
          <w:szCs w:val="24"/>
        </w:rPr>
        <w:t xml:space="preserve"> debt restructuring (TDR). A debt modification is considered a TDR if (1) Bioventus is experiencing financial difficulty, and (2) the lender grants a concession that it would not otherwise consider. The following factors should be considered and are indicators that </w:t>
      </w:r>
      <w:proofErr w:type="gramStart"/>
      <w:r>
        <w:rPr>
          <w:rFonts w:ascii="Arial" w:hAnsi="Arial" w:cs="Arial"/>
          <w:sz w:val="20"/>
          <w:szCs w:val="24"/>
        </w:rPr>
        <w:t>the Bioventus</w:t>
      </w:r>
      <w:proofErr w:type="gramEnd"/>
      <w:r>
        <w:rPr>
          <w:rFonts w:ascii="Arial" w:hAnsi="Arial" w:cs="Arial"/>
          <w:sz w:val="20"/>
          <w:szCs w:val="24"/>
        </w:rPr>
        <w:t xml:space="preserve"> is experiencing financial difficulties: </w:t>
      </w:r>
    </w:p>
    <w:p w14:paraId="387AC383" w14:textId="77777777" w:rsidR="00DF7DFD" w:rsidRDefault="00F62BB8" w:rsidP="00B5048D">
      <w:pPr>
        <w:numPr>
          <w:ilvl w:val="1"/>
          <w:numId w:val="26"/>
        </w:numPr>
        <w:ind w:left="1080"/>
        <w:rPr>
          <w:rFonts w:ascii="Arial" w:hAnsi="Arial" w:cs="Arial"/>
          <w:sz w:val="20"/>
          <w:szCs w:val="24"/>
        </w:rPr>
      </w:pPr>
      <w:r>
        <w:rPr>
          <w:rFonts w:ascii="Arial" w:hAnsi="Arial" w:cs="Arial"/>
          <w:sz w:val="20"/>
          <w:szCs w:val="24"/>
        </w:rPr>
        <w:t>Currently in default on any of its debt.</w:t>
      </w:r>
    </w:p>
    <w:p w14:paraId="58AB54AD" w14:textId="77777777" w:rsidR="00DF7DFD" w:rsidRDefault="00F62BB8" w:rsidP="00B5048D">
      <w:pPr>
        <w:numPr>
          <w:ilvl w:val="1"/>
          <w:numId w:val="26"/>
        </w:numPr>
        <w:ind w:left="1080"/>
        <w:rPr>
          <w:rFonts w:ascii="Arial" w:hAnsi="Arial" w:cs="Arial"/>
          <w:sz w:val="20"/>
          <w:szCs w:val="24"/>
        </w:rPr>
      </w:pPr>
      <w:r>
        <w:rPr>
          <w:rFonts w:ascii="Arial" w:hAnsi="Arial" w:cs="Arial"/>
          <w:sz w:val="20"/>
          <w:szCs w:val="24"/>
        </w:rPr>
        <w:t>Has declared or is in the process of declaring bankruptcy.</w:t>
      </w:r>
    </w:p>
    <w:p w14:paraId="3FDC53C1" w14:textId="77777777" w:rsidR="00DF7DFD" w:rsidRDefault="00F62BB8" w:rsidP="00B5048D">
      <w:pPr>
        <w:numPr>
          <w:ilvl w:val="1"/>
          <w:numId w:val="26"/>
        </w:numPr>
        <w:ind w:left="1080"/>
        <w:rPr>
          <w:rFonts w:ascii="Arial" w:hAnsi="Arial" w:cs="Arial"/>
          <w:sz w:val="20"/>
          <w:szCs w:val="24"/>
        </w:rPr>
      </w:pPr>
      <w:r>
        <w:rPr>
          <w:rStyle w:val="codificationsourcestart1"/>
          <w:rFonts w:ascii="Arial" w:hAnsi="Arial" w:cs="Arial"/>
          <w:color w:val="000000"/>
          <w:sz w:val="20"/>
          <w:specVanish w:val="0"/>
        </w:rPr>
        <w:t>[</w:t>
      </w:r>
      <w:r>
        <w:rPr>
          <w:rFonts w:ascii="Arial" w:hAnsi="Arial" w:cs="Arial"/>
          <w:sz w:val="20"/>
          <w:szCs w:val="24"/>
        </w:rPr>
        <w:t>There is significant doubt as to whether Bioventus will continue to be a going concern.</w:t>
      </w:r>
    </w:p>
    <w:p w14:paraId="0285E3F7" w14:textId="6E154BCD" w:rsidR="00DF7DFD" w:rsidRDefault="00F62BB8" w:rsidP="00B5048D">
      <w:pPr>
        <w:numPr>
          <w:ilvl w:val="1"/>
          <w:numId w:val="26"/>
        </w:numPr>
        <w:ind w:left="1080"/>
        <w:rPr>
          <w:rFonts w:ascii="Arial" w:hAnsi="Arial" w:cs="Arial"/>
          <w:sz w:val="20"/>
          <w:szCs w:val="24"/>
        </w:rPr>
      </w:pPr>
      <w:r>
        <w:rPr>
          <w:rFonts w:ascii="Arial" w:hAnsi="Arial" w:cs="Arial"/>
          <w:sz w:val="20"/>
          <w:szCs w:val="24"/>
        </w:rPr>
        <w:t>Currently has securities that have been delisted, are in the process of being delisted, or are under threat of being delisted from an exchange.</w:t>
      </w:r>
    </w:p>
    <w:p w14:paraId="65872DD4" w14:textId="77777777" w:rsidR="00DF7DFD" w:rsidRDefault="00F62BB8" w:rsidP="00B5048D">
      <w:pPr>
        <w:numPr>
          <w:ilvl w:val="1"/>
          <w:numId w:val="26"/>
        </w:numPr>
        <w:ind w:left="1080"/>
        <w:rPr>
          <w:rFonts w:ascii="Arial" w:hAnsi="Arial" w:cs="Arial"/>
          <w:sz w:val="20"/>
          <w:szCs w:val="24"/>
        </w:rPr>
      </w:pPr>
      <w:r>
        <w:rPr>
          <w:rStyle w:val="codificationsourcestart1"/>
          <w:rFonts w:ascii="Arial" w:hAnsi="Arial" w:cs="Arial"/>
          <w:color w:val="000000"/>
          <w:sz w:val="20"/>
          <w:specVanish w:val="0"/>
        </w:rPr>
        <w:t>[</w:t>
      </w:r>
      <w:r>
        <w:rPr>
          <w:rFonts w:ascii="Arial" w:hAnsi="Arial" w:cs="Arial"/>
          <w:sz w:val="20"/>
          <w:szCs w:val="24"/>
        </w:rPr>
        <w:t xml:space="preserve">Based on estimates and projections that only encompass the current business capabilities, Bioventus forecasts that cash </w:t>
      </w:r>
      <w:proofErr w:type="gramStart"/>
      <w:r>
        <w:rPr>
          <w:rFonts w:ascii="Arial" w:hAnsi="Arial" w:cs="Arial"/>
          <w:sz w:val="20"/>
          <w:szCs w:val="24"/>
        </w:rPr>
        <w:t>flows</w:t>
      </w:r>
      <w:proofErr w:type="gramEnd"/>
      <w:r>
        <w:rPr>
          <w:rFonts w:ascii="Arial" w:hAnsi="Arial" w:cs="Arial"/>
          <w:sz w:val="20"/>
          <w:szCs w:val="24"/>
        </w:rPr>
        <w:t xml:space="preserve"> will be insufficient to service the debt (both interest and principal) in accordance with the contractual terms of the existing agreement through maturity.</w:t>
      </w:r>
    </w:p>
    <w:p w14:paraId="0DF61994" w14:textId="77777777" w:rsidR="00DF7DFD" w:rsidRDefault="00F62BB8" w:rsidP="00B5048D">
      <w:pPr>
        <w:numPr>
          <w:ilvl w:val="1"/>
          <w:numId w:val="26"/>
        </w:numPr>
        <w:ind w:left="1080"/>
        <w:rPr>
          <w:rFonts w:ascii="Arial" w:hAnsi="Arial" w:cs="Arial"/>
          <w:sz w:val="20"/>
          <w:szCs w:val="24"/>
        </w:rPr>
      </w:pPr>
      <w:r>
        <w:rPr>
          <w:rFonts w:ascii="Arial" w:hAnsi="Arial" w:cs="Arial"/>
          <w:sz w:val="20"/>
          <w:szCs w:val="24"/>
        </w:rPr>
        <w:t>Absent the current modification, Bioventus cannot obtain funds from sources other than the existing creditors at an effective interest rate equal to the current market interest rate for similar debt for a non-troubled debtor.</w:t>
      </w:r>
    </w:p>
    <w:p w14:paraId="353FFB0A" w14:textId="77777777" w:rsidR="00DF7DFD" w:rsidRDefault="00DF7DFD" w:rsidP="00B5048D">
      <w:pPr>
        <w:ind w:left="360"/>
        <w:rPr>
          <w:rFonts w:ascii="Arial" w:hAnsi="Arial" w:cs="Arial"/>
          <w:sz w:val="20"/>
          <w:szCs w:val="24"/>
        </w:rPr>
      </w:pPr>
    </w:p>
    <w:p w14:paraId="728E71EA" w14:textId="77777777" w:rsidR="00DF7DFD" w:rsidRDefault="00F62BB8" w:rsidP="00B5048D">
      <w:pPr>
        <w:ind w:left="360"/>
        <w:rPr>
          <w:rFonts w:ascii="Arial" w:hAnsi="Arial" w:cs="Arial"/>
          <w:sz w:val="20"/>
          <w:szCs w:val="24"/>
        </w:rPr>
      </w:pPr>
      <w:r>
        <w:rPr>
          <w:rFonts w:ascii="Arial" w:hAnsi="Arial" w:cs="Arial"/>
          <w:sz w:val="20"/>
          <w:szCs w:val="24"/>
        </w:rPr>
        <w:t xml:space="preserve">The accounting treatment for a restructured term loan that is not a TDR is determined by whether the lender remains the same in the new debt facility and if so, whether the change in the debt terms for that lender </w:t>
      </w:r>
      <w:proofErr w:type="gramStart"/>
      <w:r>
        <w:rPr>
          <w:rFonts w:ascii="Arial" w:hAnsi="Arial" w:cs="Arial"/>
          <w:sz w:val="20"/>
          <w:szCs w:val="24"/>
        </w:rPr>
        <w:t>are</w:t>
      </w:r>
      <w:proofErr w:type="gramEnd"/>
      <w:r>
        <w:rPr>
          <w:rFonts w:ascii="Arial" w:hAnsi="Arial" w:cs="Arial"/>
          <w:sz w:val="20"/>
          <w:szCs w:val="24"/>
        </w:rPr>
        <w:t xml:space="preserve"> considered substantial. </w:t>
      </w:r>
    </w:p>
    <w:p w14:paraId="5DB5228E" w14:textId="77777777" w:rsidR="00DF7DFD" w:rsidRDefault="00F62BB8" w:rsidP="00B5048D">
      <w:pPr>
        <w:numPr>
          <w:ilvl w:val="0"/>
          <w:numId w:val="20"/>
        </w:numPr>
        <w:rPr>
          <w:rFonts w:ascii="Arial" w:hAnsi="Arial" w:cs="Arial"/>
          <w:sz w:val="20"/>
          <w:szCs w:val="24"/>
        </w:rPr>
      </w:pPr>
      <w:r>
        <w:rPr>
          <w:rFonts w:ascii="Arial" w:hAnsi="Arial" w:cs="Arial"/>
          <w:sz w:val="20"/>
          <w:szCs w:val="24"/>
        </w:rPr>
        <w:t>If</w:t>
      </w:r>
      <w:r>
        <w:rPr>
          <w:rFonts w:ascii="Arial" w:hAnsi="Arial" w:cs="Arial"/>
        </w:rPr>
        <w:t xml:space="preserve"> </w:t>
      </w:r>
      <w:r>
        <w:rPr>
          <w:rFonts w:ascii="Arial" w:hAnsi="Arial" w:cs="Arial"/>
          <w:sz w:val="20"/>
          <w:szCs w:val="24"/>
        </w:rPr>
        <w:t xml:space="preserve">the lender(s) remain the same, the new debt transaction is accounted for as a modification, </w:t>
      </w:r>
      <w:proofErr w:type="gramStart"/>
      <w:r>
        <w:rPr>
          <w:rFonts w:ascii="Arial" w:hAnsi="Arial" w:cs="Arial"/>
          <w:sz w:val="20"/>
          <w:szCs w:val="24"/>
        </w:rPr>
        <w:t>as long as</w:t>
      </w:r>
      <w:proofErr w:type="gramEnd"/>
      <w:r>
        <w:rPr>
          <w:rFonts w:ascii="Arial" w:hAnsi="Arial" w:cs="Arial"/>
          <w:sz w:val="20"/>
          <w:szCs w:val="24"/>
        </w:rPr>
        <w:t xml:space="preserve"> the terms of the debt are not substantially different, such that the cash flow effect on a present value basis is less than 10% impact (10% cash flow test).</w:t>
      </w:r>
    </w:p>
    <w:p w14:paraId="08FB87DE" w14:textId="77777777" w:rsidR="00DF7DFD" w:rsidRDefault="00F62BB8" w:rsidP="00B5048D">
      <w:pPr>
        <w:numPr>
          <w:ilvl w:val="0"/>
          <w:numId w:val="20"/>
        </w:numPr>
        <w:rPr>
          <w:rFonts w:ascii="Arial" w:hAnsi="Arial" w:cs="Arial"/>
          <w:sz w:val="20"/>
          <w:szCs w:val="24"/>
        </w:rPr>
      </w:pPr>
      <w:r>
        <w:rPr>
          <w:rFonts w:ascii="Arial" w:hAnsi="Arial" w:cs="Arial"/>
          <w:sz w:val="20"/>
          <w:szCs w:val="24"/>
        </w:rPr>
        <w:t xml:space="preserve">If the lender(s) differ, and/or the cash flow impact is greater than 10% (as noted above), the debt associated with the original lender(s) is accounted for as an extinguishment and any unamortized debt issuance costs and debt discount (or premium) should be written off. </w:t>
      </w:r>
    </w:p>
    <w:p w14:paraId="349800CD" w14:textId="77777777" w:rsidR="00DF7DFD" w:rsidRDefault="00DF7DFD" w:rsidP="00B5048D">
      <w:pPr>
        <w:rPr>
          <w:rFonts w:ascii="Arial" w:hAnsi="Arial" w:cs="Arial"/>
          <w:sz w:val="20"/>
          <w:szCs w:val="24"/>
        </w:rPr>
      </w:pPr>
    </w:p>
    <w:p w14:paraId="4663984E" w14:textId="77777777" w:rsidR="00DF7DFD" w:rsidRDefault="00F62BB8" w:rsidP="00B5048D">
      <w:pPr>
        <w:spacing w:after="150"/>
        <w:ind w:left="360"/>
        <w:rPr>
          <w:rFonts w:ascii="Arial" w:hAnsi="Arial" w:cs="Arial"/>
          <w:sz w:val="20"/>
          <w:szCs w:val="24"/>
        </w:rPr>
      </w:pPr>
      <w:r>
        <w:rPr>
          <w:rFonts w:ascii="Arial" w:hAnsi="Arial" w:cs="Arial"/>
          <w:sz w:val="20"/>
          <w:szCs w:val="24"/>
        </w:rPr>
        <w:t xml:space="preserve">If the debt arrangement includes multiple lenders that are members of a loan syndicate, the 10% test should be performed on each lender in the syndicate. The lender fees to be paid by Bioventus affect the term loans’ cash </w:t>
      </w:r>
      <w:proofErr w:type="gramStart"/>
      <w:r>
        <w:rPr>
          <w:rFonts w:ascii="Arial" w:hAnsi="Arial" w:cs="Arial"/>
          <w:sz w:val="20"/>
          <w:szCs w:val="24"/>
        </w:rPr>
        <w:t>flows</w:t>
      </w:r>
      <w:proofErr w:type="gramEnd"/>
      <w:r>
        <w:rPr>
          <w:rFonts w:ascii="Arial" w:hAnsi="Arial" w:cs="Arial"/>
          <w:sz w:val="20"/>
          <w:szCs w:val="24"/>
        </w:rPr>
        <w:t xml:space="preserve"> and should be included in the cash flow analysis; however, third-party fees should not be included in the cash flow analysis. </w:t>
      </w:r>
    </w:p>
    <w:p w14:paraId="75D6CE63" w14:textId="77777777" w:rsidR="00DF7DFD" w:rsidRDefault="00F62BB8" w:rsidP="00B5048D">
      <w:pPr>
        <w:spacing w:after="150"/>
        <w:ind w:left="360"/>
        <w:rPr>
          <w:rFonts w:ascii="Arial" w:hAnsi="Arial" w:cs="Arial"/>
          <w:sz w:val="20"/>
          <w:szCs w:val="24"/>
        </w:rPr>
      </w:pPr>
      <w:r>
        <w:rPr>
          <w:rFonts w:ascii="Arial" w:hAnsi="Arial" w:cs="Arial"/>
          <w:sz w:val="20"/>
          <w:szCs w:val="24"/>
        </w:rPr>
        <w:t xml:space="preserve">If the restructured loan is determined to be a loan modification (i.e., modification accounting applies), the lender fees should be capitalized as debt issuance costs and amortized over the term of the new loan. The third-party fees, such as legal costs and an arrangement fee charged by a third party to arrange the debt modification, should be </w:t>
      </w:r>
      <w:proofErr w:type="gramStart"/>
      <w:r>
        <w:rPr>
          <w:rFonts w:ascii="Arial" w:hAnsi="Arial" w:cs="Arial"/>
          <w:sz w:val="20"/>
          <w:szCs w:val="24"/>
        </w:rPr>
        <w:t>expensed</w:t>
      </w:r>
      <w:proofErr w:type="gramEnd"/>
      <w:r>
        <w:rPr>
          <w:rFonts w:ascii="Arial" w:hAnsi="Arial" w:cs="Arial"/>
          <w:sz w:val="20"/>
          <w:szCs w:val="24"/>
        </w:rPr>
        <w:t xml:space="preserve">. </w:t>
      </w:r>
    </w:p>
    <w:p w14:paraId="4CB894F0" w14:textId="3E9C3743" w:rsidR="00DF7DFD" w:rsidRDefault="00F62BB8" w:rsidP="00B5048D">
      <w:pPr>
        <w:spacing w:after="150"/>
        <w:ind w:left="360"/>
        <w:rPr>
          <w:rFonts w:ascii="Arial" w:hAnsi="Arial" w:cs="Arial"/>
          <w:sz w:val="20"/>
          <w:szCs w:val="24"/>
        </w:rPr>
      </w:pPr>
      <w:r>
        <w:rPr>
          <w:rFonts w:ascii="Arial" w:hAnsi="Arial" w:cs="Arial"/>
          <w:sz w:val="20"/>
          <w:szCs w:val="24"/>
        </w:rPr>
        <w:t xml:space="preserve">If a lender is also being compensated to perform services that could be performed by a third party (e.g., an investment bank may be one of the lenders in the syndicate as well as the </w:t>
      </w:r>
      <w:r w:rsidR="002D321E">
        <w:rPr>
          <w:rFonts w:ascii="Arial" w:hAnsi="Arial" w:cs="Arial"/>
          <w:sz w:val="20"/>
          <w:szCs w:val="24"/>
        </w:rPr>
        <w:t>third-party</w:t>
      </w:r>
      <w:r>
        <w:rPr>
          <w:rFonts w:ascii="Arial" w:hAnsi="Arial" w:cs="Arial"/>
          <w:sz w:val="20"/>
          <w:szCs w:val="24"/>
        </w:rPr>
        <w:t xml:space="preserve"> arranger of the modification), the fee should generally be accounted for as a third-party cost. </w:t>
      </w:r>
    </w:p>
    <w:p w14:paraId="6036A775" w14:textId="77777777" w:rsidR="00DF7DFD" w:rsidRDefault="00F62BB8" w:rsidP="00B5048D">
      <w:pPr>
        <w:spacing w:after="150"/>
        <w:ind w:left="360"/>
        <w:rPr>
          <w:rFonts w:ascii="Arial" w:hAnsi="Arial" w:cs="Arial"/>
          <w:b/>
          <w:sz w:val="20"/>
          <w:szCs w:val="24"/>
        </w:rPr>
      </w:pPr>
      <w:r>
        <w:rPr>
          <w:rFonts w:ascii="Arial" w:hAnsi="Arial" w:cs="Arial"/>
          <w:sz w:val="20"/>
          <w:szCs w:val="24"/>
        </w:rPr>
        <w:t xml:space="preserve">If the lender(s) under the restructured term loan differ and/or the 10% cash flow test is met (as discussed above), the debt associated with the original lender(s) is accounted for as an extinguishment and any unamortized debt issuance costs (i.e., third party fees) and debt discount (or premium) should be written off. </w:t>
      </w:r>
    </w:p>
    <w:p w14:paraId="2BC31F67" w14:textId="77777777" w:rsidR="00DF7DFD" w:rsidRDefault="00F62BB8" w:rsidP="00B5048D">
      <w:pPr>
        <w:ind w:left="360"/>
        <w:rPr>
          <w:rFonts w:ascii="Century Gothic" w:hAnsi="Century Gothic" w:cs="Arial"/>
          <w:b/>
          <w:sz w:val="20"/>
          <w:szCs w:val="24"/>
        </w:rPr>
      </w:pPr>
      <w:r>
        <w:rPr>
          <w:rFonts w:ascii="Century Gothic" w:hAnsi="Century Gothic" w:cs="Arial"/>
          <w:b/>
          <w:sz w:val="20"/>
          <w:szCs w:val="24"/>
        </w:rPr>
        <w:t xml:space="preserve">18.2 </w:t>
      </w:r>
      <w:bookmarkStart w:id="77" w:name="RevolvingDebt"/>
      <w:r>
        <w:rPr>
          <w:rFonts w:ascii="Century Gothic" w:hAnsi="Century Gothic" w:cs="Arial"/>
          <w:b/>
          <w:sz w:val="20"/>
          <w:szCs w:val="24"/>
        </w:rPr>
        <w:t>Revolving-debt Modification or Extinguishment</w:t>
      </w:r>
    </w:p>
    <w:bookmarkEnd w:id="77"/>
    <w:p w14:paraId="77987B78" w14:textId="77777777" w:rsidR="00DF7DFD" w:rsidRDefault="00F62BB8" w:rsidP="00B5048D">
      <w:pPr>
        <w:ind w:left="360"/>
        <w:rPr>
          <w:rFonts w:ascii="Arial" w:hAnsi="Arial" w:cs="Arial"/>
          <w:sz w:val="20"/>
          <w:szCs w:val="24"/>
        </w:rPr>
      </w:pPr>
      <w:r>
        <w:rPr>
          <w:rFonts w:ascii="Arial" w:hAnsi="Arial" w:cs="Arial"/>
          <w:sz w:val="20"/>
          <w:szCs w:val="24"/>
        </w:rPr>
        <w:t xml:space="preserve">When there is modification or exchange of line-of-credit or revolving-debt arrangement, the borrower must compare the borrowing capacity of the </w:t>
      </w:r>
      <w:proofErr w:type="gramStart"/>
      <w:r>
        <w:rPr>
          <w:rFonts w:ascii="Arial" w:hAnsi="Arial" w:cs="Arial"/>
          <w:sz w:val="20"/>
          <w:szCs w:val="24"/>
        </w:rPr>
        <w:t>old arrangement to the new</w:t>
      </w:r>
      <w:proofErr w:type="gramEnd"/>
      <w:r>
        <w:rPr>
          <w:rFonts w:ascii="Arial" w:hAnsi="Arial" w:cs="Arial"/>
          <w:sz w:val="20"/>
          <w:szCs w:val="24"/>
        </w:rPr>
        <w:t xml:space="preserve"> arrangement to determine the appropriate accounting treatment.   </w:t>
      </w:r>
    </w:p>
    <w:p w14:paraId="2FC5AE9E" w14:textId="77777777" w:rsidR="00DF7DFD" w:rsidRDefault="00F62BB8" w:rsidP="00B5048D">
      <w:pPr>
        <w:numPr>
          <w:ilvl w:val="0"/>
          <w:numId w:val="19"/>
        </w:numPr>
        <w:ind w:left="1080"/>
        <w:rPr>
          <w:rFonts w:ascii="Arial" w:hAnsi="Arial" w:cs="Arial"/>
          <w:sz w:val="20"/>
          <w:szCs w:val="24"/>
        </w:rPr>
      </w:pPr>
      <w:r>
        <w:rPr>
          <w:rFonts w:ascii="Arial" w:hAnsi="Arial" w:cs="Arial"/>
          <w:sz w:val="20"/>
          <w:szCs w:val="24"/>
        </w:rPr>
        <w:t xml:space="preserve">If the borrowing capacity is greater than or equal to the borrowing capacity of the old arrangement, then any unamortized deferred costs, and any fees paid to creditors and third parties should be associated with the new arrangement, and accordingly, deferred and amortized over the terms of the new arrangement. </w:t>
      </w:r>
    </w:p>
    <w:p w14:paraId="4DC8BF56" w14:textId="77777777" w:rsidR="00DF7DFD" w:rsidRDefault="00F62BB8" w:rsidP="00B5048D">
      <w:pPr>
        <w:numPr>
          <w:ilvl w:val="0"/>
          <w:numId w:val="19"/>
        </w:numPr>
        <w:ind w:left="1080"/>
        <w:rPr>
          <w:rFonts w:ascii="Arial" w:hAnsi="Arial" w:cs="Arial"/>
          <w:sz w:val="20"/>
          <w:szCs w:val="24"/>
        </w:rPr>
      </w:pPr>
      <w:r>
        <w:rPr>
          <w:rFonts w:ascii="Arial" w:hAnsi="Arial" w:cs="Arial"/>
          <w:sz w:val="20"/>
          <w:szCs w:val="24"/>
        </w:rPr>
        <w:t>If the borrowing capacity of the new arrangement is less than the old arrangement, then any unamortized deferred costs related to the old arrangement should be written off in proportion to the decrease in borrowing capacity of the old arrangement and the remaining unamortized portion should be amortized over the term of the new arrangement.  Any fees paid to the creditor and any third-party costs incurred should be associated with the new arrangement, and accordingly, deferred and amortized over the term of the new arrangement.</w:t>
      </w:r>
    </w:p>
    <w:p w14:paraId="29611B36" w14:textId="77777777" w:rsidR="00DF7DFD" w:rsidRDefault="00DF7DFD" w:rsidP="00B5048D">
      <w:pPr>
        <w:rPr>
          <w:rFonts w:ascii="Arial" w:hAnsi="Arial" w:cs="Arial"/>
          <w:b/>
          <w:sz w:val="20"/>
          <w:szCs w:val="24"/>
        </w:rPr>
      </w:pPr>
    </w:p>
    <w:p w14:paraId="0D5DBFB6" w14:textId="77777777" w:rsidR="00DF7DFD" w:rsidRDefault="00F62BB8" w:rsidP="00B5048D">
      <w:pPr>
        <w:ind w:left="360"/>
        <w:rPr>
          <w:rFonts w:ascii="Arial" w:hAnsi="Arial" w:cs="Arial"/>
          <w:b/>
          <w:sz w:val="20"/>
          <w:szCs w:val="24"/>
        </w:rPr>
      </w:pPr>
      <w:r>
        <w:rPr>
          <w:rFonts w:ascii="Century Gothic" w:hAnsi="Century Gothic" w:cs="Arial"/>
          <w:b/>
          <w:sz w:val="20"/>
          <w:szCs w:val="24"/>
        </w:rPr>
        <w:t xml:space="preserve">18.3 </w:t>
      </w:r>
      <w:bookmarkStart w:id="78" w:name="FinCostDebt"/>
      <w:r>
        <w:rPr>
          <w:rFonts w:ascii="Century Gothic" w:hAnsi="Century Gothic" w:cs="Arial"/>
          <w:b/>
          <w:sz w:val="20"/>
          <w:szCs w:val="24"/>
        </w:rPr>
        <w:t>Financing Costs- Presentation</w:t>
      </w:r>
      <w:bookmarkEnd w:id="78"/>
    </w:p>
    <w:p w14:paraId="60905B78" w14:textId="64C8D778" w:rsidR="00DF7DFD" w:rsidRPr="007B424E" w:rsidRDefault="00F62BB8" w:rsidP="00B5048D">
      <w:pPr>
        <w:ind w:left="360"/>
        <w:rPr>
          <w:rFonts w:ascii="Arial" w:hAnsi="Arial" w:cs="Arial"/>
          <w:sz w:val="20"/>
          <w:szCs w:val="24"/>
        </w:rPr>
      </w:pPr>
      <w:r w:rsidRPr="007B424E">
        <w:rPr>
          <w:rFonts w:ascii="Arial" w:hAnsi="Arial" w:cs="Arial"/>
          <w:sz w:val="20"/>
          <w:szCs w:val="24"/>
        </w:rPr>
        <w:t xml:space="preserve">Financing Costs – Includes direct and incremental costs related to the issuance of term debt, such as issuer’s legal fees, printing costs and underwriters’ fees, among others, paid to parties other than creditors and should be capitalized and reported in the balance sheet as a direct reduction from the face amount of the associated debt (except for costs associated with debt modifications which are expensed, as discussed above). </w:t>
      </w:r>
      <w:r w:rsidR="002D1131" w:rsidRPr="007B424E">
        <w:rPr>
          <w:rFonts w:ascii="Arial" w:hAnsi="Arial" w:cs="Arial"/>
          <w:sz w:val="20"/>
          <w:szCs w:val="24"/>
        </w:rPr>
        <w:t xml:space="preserve">In the case of an available revolver where there is no balance, the fees should be capitalized and reported </w:t>
      </w:r>
      <w:proofErr w:type="gramStart"/>
      <w:r w:rsidR="002D1131" w:rsidRPr="007B424E">
        <w:rPr>
          <w:rFonts w:ascii="Arial" w:hAnsi="Arial" w:cs="Arial"/>
          <w:sz w:val="20"/>
          <w:szCs w:val="24"/>
        </w:rPr>
        <w:t>in</w:t>
      </w:r>
      <w:proofErr w:type="gramEnd"/>
      <w:r w:rsidR="002D1131" w:rsidRPr="007B424E">
        <w:rPr>
          <w:rFonts w:ascii="Arial" w:hAnsi="Arial" w:cs="Arial"/>
          <w:sz w:val="20"/>
          <w:szCs w:val="24"/>
        </w:rPr>
        <w:t xml:space="preserve"> the balance sheet as a noncurrent asset. </w:t>
      </w:r>
      <w:r w:rsidRPr="007B424E">
        <w:rPr>
          <w:rFonts w:ascii="Arial" w:hAnsi="Arial" w:cs="Arial"/>
          <w:sz w:val="20"/>
          <w:szCs w:val="24"/>
        </w:rPr>
        <w:t>The deferred costs should be amortized into interest expense using the effective interest method over the life of the loan, or on a straight-line basis if it approximates the effective interest method.</w:t>
      </w:r>
    </w:p>
    <w:p w14:paraId="016C62D1" w14:textId="77777777" w:rsidR="007B424E" w:rsidRDefault="007B424E" w:rsidP="00B5048D">
      <w:pPr>
        <w:ind w:left="360"/>
        <w:rPr>
          <w:rFonts w:ascii="Arial" w:hAnsi="Arial" w:cs="Arial"/>
          <w:sz w:val="20"/>
          <w:szCs w:val="24"/>
        </w:rPr>
      </w:pPr>
    </w:p>
    <w:p w14:paraId="1D11E6D5" w14:textId="7B30279B" w:rsidR="00DF7DFD" w:rsidRPr="007B424E" w:rsidRDefault="00F62BB8" w:rsidP="00B5048D">
      <w:pPr>
        <w:ind w:left="360"/>
        <w:rPr>
          <w:rFonts w:ascii="Arial" w:hAnsi="Arial" w:cs="Arial"/>
          <w:sz w:val="20"/>
          <w:szCs w:val="24"/>
        </w:rPr>
      </w:pPr>
      <w:r w:rsidRPr="007B424E">
        <w:rPr>
          <w:rFonts w:ascii="Arial" w:hAnsi="Arial" w:cs="Arial"/>
          <w:sz w:val="20"/>
          <w:szCs w:val="24"/>
        </w:rPr>
        <w:t xml:space="preserve">Original issue discount (OID) - Fees paid to lenders under a term debt are considered OID and </w:t>
      </w:r>
      <w:proofErr w:type="gramStart"/>
      <w:r w:rsidRPr="007B424E">
        <w:rPr>
          <w:rFonts w:ascii="Arial" w:hAnsi="Arial" w:cs="Arial"/>
          <w:sz w:val="20"/>
          <w:szCs w:val="24"/>
        </w:rPr>
        <w:t>is</w:t>
      </w:r>
      <w:proofErr w:type="gramEnd"/>
      <w:r w:rsidRPr="007B424E">
        <w:rPr>
          <w:rFonts w:ascii="Arial" w:hAnsi="Arial" w:cs="Arial"/>
          <w:sz w:val="20"/>
          <w:szCs w:val="24"/>
        </w:rPr>
        <w:t xml:space="preserve"> not an asset separable from the loan. The OID should be reported </w:t>
      </w:r>
      <w:proofErr w:type="gramStart"/>
      <w:r w:rsidRPr="007B424E">
        <w:rPr>
          <w:rFonts w:ascii="Arial" w:hAnsi="Arial" w:cs="Arial"/>
          <w:sz w:val="20"/>
          <w:szCs w:val="24"/>
        </w:rPr>
        <w:t>in</w:t>
      </w:r>
      <w:proofErr w:type="gramEnd"/>
      <w:r w:rsidRPr="007B424E">
        <w:rPr>
          <w:rFonts w:ascii="Arial" w:hAnsi="Arial" w:cs="Arial"/>
          <w:sz w:val="20"/>
          <w:szCs w:val="24"/>
        </w:rPr>
        <w:t xml:space="preserve"> the balance sheet as an adjustment to the carrying amount of the debt. The discount should be amortized into interest expense using the effective interest method over the life of the loan, or on a straight-line basis if it approximates the effective interest method.</w:t>
      </w:r>
    </w:p>
    <w:p w14:paraId="1C56C12F" w14:textId="77777777" w:rsidR="00221DE6" w:rsidRDefault="00221DE6" w:rsidP="00B5048D">
      <w:pPr>
        <w:ind w:left="360"/>
        <w:rPr>
          <w:rFonts w:ascii="Arial" w:hAnsi="Arial" w:cs="Arial"/>
          <w:sz w:val="20"/>
          <w:szCs w:val="24"/>
        </w:rPr>
      </w:pPr>
    </w:p>
    <w:p w14:paraId="52D143DB" w14:textId="796A27BD" w:rsidR="00DF7DFD" w:rsidRDefault="00F62BB8" w:rsidP="00B5048D">
      <w:pPr>
        <w:spacing w:after="150"/>
        <w:ind w:left="360"/>
        <w:rPr>
          <w:rFonts w:ascii="Arial" w:hAnsi="Arial" w:cs="Arial"/>
          <w:sz w:val="20"/>
          <w:szCs w:val="24"/>
        </w:rPr>
      </w:pPr>
      <w:r>
        <w:rPr>
          <w:rFonts w:ascii="Arial" w:hAnsi="Arial" w:cs="Arial"/>
          <w:sz w:val="20"/>
          <w:szCs w:val="24"/>
        </w:rPr>
        <w:t xml:space="preserve">Debt extinguishment gains or losses should be identified as </w:t>
      </w:r>
      <w:r w:rsidR="00221DE6">
        <w:rPr>
          <w:rFonts w:ascii="Arial" w:hAnsi="Arial" w:cs="Arial"/>
          <w:sz w:val="20"/>
          <w:szCs w:val="24"/>
        </w:rPr>
        <w:t xml:space="preserve">a </w:t>
      </w:r>
      <w:r>
        <w:rPr>
          <w:rFonts w:ascii="Arial" w:hAnsi="Arial" w:cs="Arial"/>
          <w:sz w:val="20"/>
          <w:szCs w:val="24"/>
        </w:rPr>
        <w:t xml:space="preserve">separate item. Acceptable approaches include either reporting as a separate line item on the income statement or report as interest expense and separately disclose in the footnotes to the financials. Either method should be consistently applied. The Company records such gains or losses in interest expense and separately discloses the gain or loss in the footnotes. </w:t>
      </w:r>
    </w:p>
    <w:p w14:paraId="41251787" w14:textId="08C67CF6" w:rsidR="00DF7DFD" w:rsidRDefault="0027485C"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Arial" w:hAnsi="Arial" w:cs="Arial"/>
          <w:bCs w:val="0"/>
          <w:sz w:val="20"/>
        </w:rPr>
      </w:pPr>
      <w:bookmarkStart w:id="79" w:name="_Loss_Contingencies"/>
      <w:bookmarkStart w:id="80" w:name="_Toc217460896"/>
      <w:bookmarkStart w:id="81" w:name="_Toc308509435"/>
      <w:bookmarkStart w:id="82" w:name="_Toc308509457"/>
      <w:bookmarkEnd w:id="79"/>
      <w:r>
        <w:rPr>
          <w:rFonts w:ascii="Arial" w:hAnsi="Arial" w:cs="Arial"/>
          <w:bCs w:val="0"/>
          <w:sz w:val="20"/>
        </w:rPr>
        <w:t xml:space="preserve">Commitment and </w:t>
      </w:r>
      <w:r w:rsidR="00F62BB8">
        <w:rPr>
          <w:rFonts w:ascii="Arial" w:hAnsi="Arial" w:cs="Arial"/>
          <w:bCs w:val="0"/>
          <w:sz w:val="20"/>
        </w:rPr>
        <w:t>Contingencies</w:t>
      </w:r>
    </w:p>
    <w:p w14:paraId="47047042" w14:textId="2C5D60F8"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Loss contingencies must be accrued if it is probable that a loss has been incurred </w:t>
      </w:r>
      <w:proofErr w:type="gramStart"/>
      <w:r>
        <w:rPr>
          <w:rFonts w:ascii="Arial" w:hAnsi="Arial" w:cs="Arial"/>
          <w:sz w:val="20"/>
        </w:rPr>
        <w:t>at</w:t>
      </w:r>
      <w:proofErr w:type="gramEnd"/>
      <w:r>
        <w:rPr>
          <w:rFonts w:ascii="Arial" w:hAnsi="Arial" w:cs="Arial"/>
          <w:sz w:val="20"/>
        </w:rPr>
        <w:t xml:space="preserve"> the date of the financial statements; and the amount of the loss can be reasonably estimated.  There are two major categories of loss contingencies as follows:</w:t>
      </w:r>
    </w:p>
    <w:p w14:paraId="10536221" w14:textId="77777777" w:rsidR="00DF7DFD" w:rsidRDefault="00F62BB8" w:rsidP="00B5048D">
      <w:pPr>
        <w:numPr>
          <w:ilvl w:val="0"/>
          <w:numId w:val="16"/>
        </w:numPr>
        <w:spacing w:line="0" w:lineRule="atLeast"/>
        <w:jc w:val="both"/>
        <w:rPr>
          <w:rFonts w:ascii="Arial" w:hAnsi="Arial" w:cs="Arial"/>
          <w:sz w:val="20"/>
        </w:rPr>
      </w:pPr>
      <w:r>
        <w:rPr>
          <w:rFonts w:ascii="Arial" w:hAnsi="Arial" w:cs="Arial"/>
          <w:sz w:val="20"/>
        </w:rPr>
        <w:t xml:space="preserve">Asserted claims or claims that have been filed with or against the company. </w:t>
      </w:r>
    </w:p>
    <w:p w14:paraId="69E850C5" w14:textId="359096BA" w:rsidR="00DF7DFD" w:rsidRDefault="00F62BB8" w:rsidP="00B5048D">
      <w:pPr>
        <w:numPr>
          <w:ilvl w:val="0"/>
          <w:numId w:val="16"/>
        </w:numPr>
        <w:spacing w:line="0" w:lineRule="atLeast"/>
        <w:jc w:val="both"/>
        <w:rPr>
          <w:rFonts w:ascii="Arial" w:hAnsi="Arial" w:cs="Arial"/>
          <w:sz w:val="20"/>
        </w:rPr>
      </w:pPr>
      <w:r>
        <w:rPr>
          <w:rFonts w:ascii="Arial" w:hAnsi="Arial" w:cs="Arial"/>
          <w:sz w:val="20"/>
        </w:rPr>
        <w:t>Unasserted claims or incidents that have not yet resulted in a claim but may lead to a claim in the future. Unasserted claims can be subdivided into two categories:</w:t>
      </w:r>
    </w:p>
    <w:p w14:paraId="106F8C08" w14:textId="76840B7E" w:rsidR="00DF7DFD" w:rsidRDefault="00F62BB8" w:rsidP="00B5048D">
      <w:pPr>
        <w:numPr>
          <w:ilvl w:val="0"/>
          <w:numId w:val="31"/>
        </w:numPr>
        <w:spacing w:line="0" w:lineRule="atLeast"/>
        <w:jc w:val="both"/>
        <w:rPr>
          <w:rFonts w:ascii="Arial" w:hAnsi="Arial" w:cs="Arial"/>
          <w:sz w:val="20"/>
        </w:rPr>
      </w:pPr>
      <w:r>
        <w:rPr>
          <w:rFonts w:ascii="Arial" w:hAnsi="Arial" w:cs="Arial"/>
          <w:sz w:val="20"/>
        </w:rPr>
        <w:t xml:space="preserve">Reported incidents or incidents that the </w:t>
      </w:r>
      <w:r w:rsidR="00221DE6">
        <w:rPr>
          <w:rFonts w:ascii="Arial" w:hAnsi="Arial" w:cs="Arial"/>
          <w:sz w:val="20"/>
        </w:rPr>
        <w:t>C</w:t>
      </w:r>
      <w:r>
        <w:rPr>
          <w:rFonts w:ascii="Arial" w:hAnsi="Arial" w:cs="Arial"/>
          <w:sz w:val="20"/>
        </w:rPr>
        <w:t xml:space="preserve">ompany has determined are events that might result in a claim. </w:t>
      </w:r>
    </w:p>
    <w:p w14:paraId="225BC90E" w14:textId="265DDF76" w:rsidR="00DF7DFD" w:rsidRDefault="00F62BB8" w:rsidP="00B5048D">
      <w:pPr>
        <w:numPr>
          <w:ilvl w:val="0"/>
          <w:numId w:val="31"/>
        </w:numPr>
        <w:spacing w:line="0" w:lineRule="atLeast"/>
        <w:jc w:val="both"/>
        <w:rPr>
          <w:rFonts w:ascii="Arial" w:hAnsi="Arial" w:cs="Arial"/>
          <w:sz w:val="20"/>
        </w:rPr>
      </w:pPr>
      <w:r>
        <w:rPr>
          <w:rFonts w:ascii="Arial" w:hAnsi="Arial" w:cs="Arial"/>
          <w:sz w:val="20"/>
        </w:rPr>
        <w:t xml:space="preserve">Unreported incidents or incidents that occurred before the reporting period ended but that have yet to be specifically identified by the </w:t>
      </w:r>
      <w:r w:rsidR="00221DE6">
        <w:rPr>
          <w:rFonts w:ascii="Arial" w:hAnsi="Arial" w:cs="Arial"/>
          <w:sz w:val="20"/>
        </w:rPr>
        <w:t>C</w:t>
      </w:r>
      <w:r>
        <w:rPr>
          <w:rFonts w:ascii="Arial" w:hAnsi="Arial" w:cs="Arial"/>
          <w:sz w:val="20"/>
        </w:rPr>
        <w:t>ompany.</w:t>
      </w:r>
    </w:p>
    <w:p w14:paraId="363CCFC4" w14:textId="77777777" w:rsidR="00DF7DFD" w:rsidRDefault="00DF7DFD" w:rsidP="00B5048D">
      <w:pPr>
        <w:spacing w:line="0" w:lineRule="atLeast"/>
        <w:ind w:left="270"/>
        <w:jc w:val="both"/>
        <w:rPr>
          <w:rFonts w:ascii="Arial" w:hAnsi="Arial" w:cs="Arial"/>
          <w:sz w:val="20"/>
        </w:rPr>
      </w:pPr>
    </w:p>
    <w:p w14:paraId="55FB5616" w14:textId="51B407C0" w:rsidR="00DF7DFD" w:rsidRDefault="00405280" w:rsidP="00B5048D">
      <w:pPr>
        <w:pStyle w:val="ListParagraph"/>
        <w:spacing w:line="0" w:lineRule="atLeast"/>
        <w:ind w:left="360"/>
        <w:contextualSpacing/>
        <w:jc w:val="both"/>
        <w:rPr>
          <w:rFonts w:ascii="Arial" w:hAnsi="Arial" w:cs="Arial"/>
          <w:sz w:val="20"/>
        </w:rPr>
      </w:pPr>
      <w:r w:rsidRPr="009D7A9F">
        <w:rPr>
          <w:rFonts w:ascii="Arial" w:hAnsi="Arial" w:cs="Arial"/>
          <w:sz w:val="20"/>
          <w:u w:val="single"/>
        </w:rPr>
        <w:t>Discounting the accrued liability</w:t>
      </w:r>
      <w:r>
        <w:rPr>
          <w:rFonts w:ascii="Arial" w:hAnsi="Arial" w:cs="Arial"/>
          <w:sz w:val="20"/>
        </w:rPr>
        <w:t xml:space="preserve">: </w:t>
      </w:r>
      <w:r w:rsidR="002C3139">
        <w:rPr>
          <w:rFonts w:ascii="Arial" w:hAnsi="Arial" w:cs="Arial"/>
          <w:sz w:val="20"/>
        </w:rPr>
        <w:t>Accrued</w:t>
      </w:r>
      <w:r w:rsidR="00577BD1">
        <w:rPr>
          <w:rFonts w:ascii="Arial" w:hAnsi="Arial" w:cs="Arial"/>
          <w:sz w:val="20"/>
        </w:rPr>
        <w:t xml:space="preserve"> </w:t>
      </w:r>
      <w:r w:rsidR="002C3139">
        <w:rPr>
          <w:rFonts w:ascii="Arial" w:hAnsi="Arial" w:cs="Arial"/>
          <w:sz w:val="20"/>
        </w:rPr>
        <w:t xml:space="preserve">liabilities for contingencies are generally not discounted. However, as discussed in ASC 835-30-15-2, discounting </w:t>
      </w:r>
      <w:proofErr w:type="gramStart"/>
      <w:r w:rsidR="002C3139">
        <w:rPr>
          <w:rFonts w:ascii="Arial" w:hAnsi="Arial" w:cs="Arial"/>
          <w:sz w:val="20"/>
        </w:rPr>
        <w:t xml:space="preserve">a </w:t>
      </w:r>
      <w:r w:rsidR="00B248B6">
        <w:rPr>
          <w:rFonts w:ascii="Arial" w:hAnsi="Arial" w:cs="Arial"/>
          <w:sz w:val="20"/>
        </w:rPr>
        <w:t>contingent</w:t>
      </w:r>
      <w:proofErr w:type="gramEnd"/>
      <w:r w:rsidR="00B248B6">
        <w:rPr>
          <w:rFonts w:ascii="Arial" w:hAnsi="Arial" w:cs="Arial"/>
          <w:sz w:val="20"/>
        </w:rPr>
        <w:t xml:space="preserve"> </w:t>
      </w:r>
      <w:r w:rsidR="002C3139">
        <w:rPr>
          <w:rFonts w:ascii="Arial" w:hAnsi="Arial" w:cs="Arial"/>
          <w:sz w:val="20"/>
        </w:rPr>
        <w:t>liability is acceptable when the aggregate amount of the liability and the timing of cash payments for the liability are fixed or reliably determinable</w:t>
      </w:r>
      <w:r w:rsidR="00B248B6">
        <w:rPr>
          <w:rFonts w:ascii="Arial" w:hAnsi="Arial" w:cs="Arial"/>
          <w:sz w:val="20"/>
        </w:rPr>
        <w:t>, and the payment terms exceed one year</w:t>
      </w:r>
      <w:r w:rsidR="002C3139">
        <w:rPr>
          <w:rFonts w:ascii="Arial" w:hAnsi="Arial" w:cs="Arial"/>
          <w:sz w:val="20"/>
        </w:rPr>
        <w:t>. The Company</w:t>
      </w:r>
      <w:r w:rsidR="00577BD1">
        <w:rPr>
          <w:rFonts w:ascii="Arial" w:hAnsi="Arial" w:cs="Arial"/>
          <w:sz w:val="20"/>
        </w:rPr>
        <w:t xml:space="preserve">’s </w:t>
      </w:r>
      <w:r w:rsidR="002C3139">
        <w:rPr>
          <w:rFonts w:ascii="Arial" w:hAnsi="Arial" w:cs="Arial"/>
          <w:sz w:val="20"/>
        </w:rPr>
        <w:t xml:space="preserve">accounting policy </w:t>
      </w:r>
      <w:r w:rsidR="00577BD1">
        <w:rPr>
          <w:rFonts w:ascii="Arial" w:hAnsi="Arial" w:cs="Arial"/>
          <w:sz w:val="20"/>
        </w:rPr>
        <w:t xml:space="preserve">is </w:t>
      </w:r>
      <w:r w:rsidR="002C3139">
        <w:rPr>
          <w:rFonts w:ascii="Arial" w:hAnsi="Arial" w:cs="Arial"/>
          <w:sz w:val="20"/>
        </w:rPr>
        <w:t xml:space="preserve">to discount </w:t>
      </w:r>
      <w:r w:rsidR="001E06CC">
        <w:rPr>
          <w:rFonts w:ascii="Arial" w:hAnsi="Arial" w:cs="Arial"/>
          <w:sz w:val="20"/>
        </w:rPr>
        <w:t xml:space="preserve">only </w:t>
      </w:r>
      <w:r w:rsidR="002C3139">
        <w:rPr>
          <w:rFonts w:ascii="Arial" w:hAnsi="Arial" w:cs="Arial"/>
          <w:sz w:val="20"/>
        </w:rPr>
        <w:t xml:space="preserve">when both the timing and the amounts of future cash </w:t>
      </w:r>
      <w:proofErr w:type="gramStart"/>
      <w:r w:rsidR="002C3139">
        <w:rPr>
          <w:rFonts w:ascii="Arial" w:hAnsi="Arial" w:cs="Arial"/>
          <w:sz w:val="20"/>
        </w:rPr>
        <w:t>flows</w:t>
      </w:r>
      <w:proofErr w:type="gramEnd"/>
      <w:r w:rsidR="00073A1B">
        <w:rPr>
          <w:rFonts w:ascii="Arial" w:hAnsi="Arial" w:cs="Arial"/>
          <w:sz w:val="20"/>
        </w:rPr>
        <w:t xml:space="preserve"> </w:t>
      </w:r>
      <w:r w:rsidR="002C3139">
        <w:rPr>
          <w:rFonts w:ascii="Arial" w:hAnsi="Arial" w:cs="Arial"/>
          <w:sz w:val="20"/>
        </w:rPr>
        <w:t xml:space="preserve">are fixed or reliably determinable based </w:t>
      </w:r>
      <w:proofErr w:type="gramStart"/>
      <w:r w:rsidR="002C3139">
        <w:rPr>
          <w:rFonts w:ascii="Arial" w:hAnsi="Arial" w:cs="Arial"/>
          <w:sz w:val="20"/>
        </w:rPr>
        <w:t>on the basis of</w:t>
      </w:r>
      <w:proofErr w:type="gramEnd"/>
      <w:r w:rsidR="002C3139">
        <w:rPr>
          <w:rFonts w:ascii="Arial" w:hAnsi="Arial" w:cs="Arial"/>
          <w:sz w:val="20"/>
        </w:rPr>
        <w:t xml:space="preserve"> objective and </w:t>
      </w:r>
      <w:r w:rsidR="00577BD1">
        <w:rPr>
          <w:rFonts w:ascii="Arial" w:hAnsi="Arial" w:cs="Arial"/>
          <w:sz w:val="20"/>
        </w:rPr>
        <w:t>verifiable information</w:t>
      </w:r>
      <w:r w:rsidR="00073A1B">
        <w:rPr>
          <w:rFonts w:ascii="Arial" w:hAnsi="Arial" w:cs="Arial"/>
          <w:sz w:val="20"/>
        </w:rPr>
        <w:t xml:space="preserve">, </w:t>
      </w:r>
      <w:r w:rsidR="00577BD1">
        <w:rPr>
          <w:rFonts w:ascii="Arial" w:hAnsi="Arial" w:cs="Arial"/>
          <w:sz w:val="20"/>
        </w:rPr>
        <w:t>the payment terms exceed one year</w:t>
      </w:r>
      <w:r w:rsidR="00073A1B">
        <w:rPr>
          <w:rFonts w:ascii="Arial" w:hAnsi="Arial" w:cs="Arial"/>
          <w:sz w:val="20"/>
        </w:rPr>
        <w:t xml:space="preserve">, and the effect of the time value of money is </w:t>
      </w:r>
      <w:proofErr w:type="gramStart"/>
      <w:r w:rsidR="00073A1B">
        <w:rPr>
          <w:rFonts w:ascii="Arial" w:hAnsi="Arial" w:cs="Arial"/>
          <w:sz w:val="20"/>
        </w:rPr>
        <w:t>material</w:t>
      </w:r>
      <w:r w:rsidR="00577BD1">
        <w:rPr>
          <w:rFonts w:ascii="Arial" w:hAnsi="Arial" w:cs="Arial"/>
          <w:sz w:val="20"/>
        </w:rPr>
        <w:t>..</w:t>
      </w:r>
      <w:proofErr w:type="gramEnd"/>
      <w:r w:rsidR="00577BD1">
        <w:rPr>
          <w:rFonts w:ascii="Arial" w:hAnsi="Arial" w:cs="Arial"/>
          <w:sz w:val="20"/>
        </w:rPr>
        <w:t xml:space="preserve"> The discount rate used should produce an amount at which the liability could be settled in an arm’s length transaction with a third party</w:t>
      </w:r>
      <w:r w:rsidR="001E06CC">
        <w:rPr>
          <w:rFonts w:ascii="Arial" w:hAnsi="Arial" w:cs="Arial"/>
          <w:sz w:val="20"/>
        </w:rPr>
        <w:t xml:space="preserve"> and </w:t>
      </w:r>
      <w:r w:rsidR="001E06CC" w:rsidRPr="009D7A9F">
        <w:rPr>
          <w:rFonts w:ascii="Arial" w:hAnsi="Arial" w:cs="Arial"/>
          <w:sz w:val="20"/>
        </w:rPr>
        <w:t>should not exceed the interest rate on monetary assets that are essentially risk-free and have maturities comparable to that of the liability</w:t>
      </w:r>
      <w:r w:rsidR="00577BD1">
        <w:rPr>
          <w:rFonts w:ascii="Arial" w:hAnsi="Arial" w:cs="Arial"/>
          <w:sz w:val="20"/>
        </w:rPr>
        <w:t xml:space="preserve"> (ASC 450-20-S99-1). </w:t>
      </w:r>
      <w:r w:rsidR="00221DE6" w:rsidRPr="006D6003">
        <w:rPr>
          <w:rFonts w:ascii="Arial" w:hAnsi="Arial" w:cs="Arial"/>
          <w:sz w:val="20"/>
        </w:rPr>
        <w:t>Contact the</w:t>
      </w:r>
      <w:r w:rsidR="00076824" w:rsidRPr="006D6003">
        <w:rPr>
          <w:rFonts w:ascii="Arial" w:hAnsi="Arial" w:cs="Arial"/>
          <w:sz w:val="20"/>
        </w:rPr>
        <w:t xml:space="preserve"> Dir, TA</w:t>
      </w:r>
      <w:r w:rsidR="00F62BB8" w:rsidRPr="006D6003">
        <w:rPr>
          <w:rFonts w:ascii="Arial" w:hAnsi="Arial" w:cs="Arial"/>
          <w:sz w:val="20"/>
        </w:rPr>
        <w:t xml:space="preserve"> to obtain and discuss the appropriate rate.</w:t>
      </w:r>
    </w:p>
    <w:p w14:paraId="26227990" w14:textId="77777777" w:rsidR="00DF7DFD" w:rsidRDefault="00DF7DFD" w:rsidP="00B5048D">
      <w:pPr>
        <w:pStyle w:val="ListParagraph"/>
        <w:spacing w:line="0" w:lineRule="atLeast"/>
        <w:ind w:left="270"/>
        <w:contextualSpacing/>
        <w:jc w:val="both"/>
        <w:rPr>
          <w:rFonts w:ascii="Arial" w:hAnsi="Arial" w:cs="Arial"/>
          <w:sz w:val="20"/>
        </w:rPr>
      </w:pPr>
    </w:p>
    <w:p w14:paraId="139E4E8D"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As it relates to </w:t>
      </w:r>
      <w:r w:rsidRPr="009D7A9F">
        <w:rPr>
          <w:rFonts w:ascii="Arial" w:hAnsi="Arial" w:cs="Arial"/>
          <w:sz w:val="20"/>
          <w:u w:val="single"/>
        </w:rPr>
        <w:t>insurance claims and potential recognition of recoveries</w:t>
      </w:r>
      <w:r>
        <w:rPr>
          <w:rFonts w:ascii="Arial" w:hAnsi="Arial" w:cs="Arial"/>
          <w:sz w:val="20"/>
        </w:rPr>
        <w:t xml:space="preserve">, the </w:t>
      </w:r>
      <w:proofErr w:type="gramStart"/>
      <w:r>
        <w:rPr>
          <w:rFonts w:ascii="Arial" w:hAnsi="Arial" w:cs="Arial"/>
          <w:sz w:val="20"/>
        </w:rPr>
        <w:t>net book</w:t>
      </w:r>
      <w:proofErr w:type="gramEnd"/>
      <w:r>
        <w:rPr>
          <w:rFonts w:ascii="Arial" w:hAnsi="Arial" w:cs="Arial"/>
          <w:sz w:val="20"/>
        </w:rPr>
        <w:t xml:space="preserve"> value of physically lost assets, including cash, should be written off to expense. An assessment of the minimum value of the insurance claim should be </w:t>
      </w:r>
      <w:proofErr w:type="gramStart"/>
      <w:r>
        <w:rPr>
          <w:rFonts w:ascii="Arial" w:hAnsi="Arial" w:cs="Arial"/>
          <w:sz w:val="20"/>
        </w:rPr>
        <w:t>performed</w:t>
      </w:r>
      <w:proofErr w:type="gramEnd"/>
      <w:r>
        <w:rPr>
          <w:rFonts w:ascii="Arial" w:hAnsi="Arial" w:cs="Arial"/>
          <w:sz w:val="20"/>
        </w:rPr>
        <w:t xml:space="preserve"> to determine whether recovery is considered probable. If the claim is subject to dispute or litigation, a rebuttable presumption exists that recoverability of the claim is not probable. If recovery is probable, then an insurance claim receivable should be recorded offsetting the expense from the write off.</w:t>
      </w:r>
    </w:p>
    <w:p w14:paraId="3B382468" w14:textId="77777777" w:rsidR="00DF7DFD" w:rsidRDefault="00DF7DFD" w:rsidP="00B5048D">
      <w:pPr>
        <w:pStyle w:val="ListParagraph"/>
        <w:spacing w:line="0" w:lineRule="atLeast"/>
        <w:ind w:left="360"/>
        <w:contextualSpacing/>
        <w:jc w:val="both"/>
        <w:rPr>
          <w:rFonts w:ascii="Arial" w:hAnsi="Arial" w:cs="Arial"/>
          <w:sz w:val="20"/>
        </w:rPr>
      </w:pPr>
    </w:p>
    <w:p w14:paraId="73D9718F"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With respect to unasserted claims for risks in a large population, such as </w:t>
      </w:r>
      <w:r w:rsidRPr="009D7A9F">
        <w:rPr>
          <w:rFonts w:ascii="Arial" w:hAnsi="Arial" w:cs="Arial"/>
          <w:sz w:val="20"/>
          <w:u w:val="single"/>
        </w:rPr>
        <w:t>self-insured medical claims</w:t>
      </w:r>
      <w:r>
        <w:rPr>
          <w:rFonts w:ascii="Arial" w:hAnsi="Arial" w:cs="Arial"/>
          <w:sz w:val="20"/>
        </w:rPr>
        <w:t>, it is probable that historical data will indicate and that you should determine the liability related to incidents that have occurred but have not yet been reported. Estimates should be reassessed at each reporting period.</w:t>
      </w:r>
    </w:p>
    <w:p w14:paraId="77E67B99" w14:textId="77777777" w:rsidR="00DF7DFD" w:rsidRDefault="00DF7DFD" w:rsidP="00B5048D">
      <w:pPr>
        <w:pStyle w:val="ListParagraph"/>
        <w:spacing w:line="0" w:lineRule="atLeast"/>
        <w:ind w:left="360"/>
        <w:contextualSpacing/>
        <w:jc w:val="both"/>
        <w:rPr>
          <w:rFonts w:ascii="Arial" w:hAnsi="Arial" w:cs="Arial"/>
          <w:sz w:val="20"/>
        </w:rPr>
      </w:pPr>
    </w:p>
    <w:p w14:paraId="60209823" w14:textId="029A415F"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Regarding uninsured, </w:t>
      </w:r>
      <w:r w:rsidRPr="009D7A9F">
        <w:rPr>
          <w:rFonts w:ascii="Arial" w:hAnsi="Arial" w:cs="Arial"/>
          <w:sz w:val="20"/>
          <w:u w:val="single"/>
        </w:rPr>
        <w:t>litigation and product liability claims</w:t>
      </w:r>
      <w:r>
        <w:rPr>
          <w:rFonts w:ascii="Arial" w:hAnsi="Arial" w:cs="Arial"/>
          <w:sz w:val="20"/>
        </w:rPr>
        <w:t xml:space="preserve"> (within the uninsured deductible), when a loss is </w:t>
      </w:r>
      <w:r w:rsidR="006D6003">
        <w:rPr>
          <w:rFonts w:ascii="Arial" w:hAnsi="Arial" w:cs="Arial"/>
          <w:sz w:val="20"/>
        </w:rPr>
        <w:t>probable,</w:t>
      </w:r>
      <w:r>
        <w:rPr>
          <w:rFonts w:ascii="Arial" w:hAnsi="Arial" w:cs="Arial"/>
          <w:sz w:val="20"/>
        </w:rPr>
        <w:t xml:space="preserve"> and the amount of the loss can be reasonably</w:t>
      </w:r>
      <w:r>
        <w:rPr>
          <w:rFonts w:ascii="Arial" w:hAnsi="Arial" w:cs="Arial"/>
          <w:sz w:val="20"/>
          <w:lang w:val="en"/>
        </w:rPr>
        <w:t xml:space="preserve"> estimated you should accrue the ultimate total cost of asserted and unasserted claims for all incidents that occurred during the reporting period.</w:t>
      </w:r>
      <w:r>
        <w:rPr>
          <w:rFonts w:ascii="Arial" w:hAnsi="Arial" w:cs="Arial"/>
          <w:sz w:val="20"/>
        </w:rPr>
        <w:t xml:space="preserve"> If it is probable that a loss has occurred, and if available information indicates that the loss is within a range of specified amounts, you should accrue the most likely amount of loss that falls within the range. If some amount within a range of loss appears at the time to be a better estimate than any other amount within the range, that amount should be accrued.  If no amount within the range represents a better estimate than any other amount, you should accrue the minimum amount in the range even if it is $0.  Recorded losses should be reviewed and re-estimated, if necessary, at each reporting date, and any changes in the liability should be </w:t>
      </w:r>
      <w:proofErr w:type="gramStart"/>
      <w:r>
        <w:rPr>
          <w:rFonts w:ascii="Arial" w:hAnsi="Arial" w:cs="Arial"/>
          <w:sz w:val="20"/>
        </w:rPr>
        <w:t>expensed</w:t>
      </w:r>
      <w:proofErr w:type="gramEnd"/>
      <w:r>
        <w:rPr>
          <w:rFonts w:ascii="Arial" w:hAnsi="Arial" w:cs="Arial"/>
          <w:sz w:val="20"/>
        </w:rPr>
        <w:t xml:space="preserve"> immediately.</w:t>
      </w:r>
    </w:p>
    <w:p w14:paraId="5D7964C8" w14:textId="77777777" w:rsidR="00DF7DFD" w:rsidRDefault="00DF7DFD" w:rsidP="00B5048D">
      <w:pPr>
        <w:pStyle w:val="ListParagraph"/>
        <w:ind w:left="270"/>
        <w:rPr>
          <w:rFonts w:ascii="Arial" w:hAnsi="Arial" w:cs="Arial"/>
          <w:sz w:val="20"/>
        </w:rPr>
      </w:pPr>
    </w:p>
    <w:p w14:paraId="69BED5A2" w14:textId="38F85F04" w:rsidR="00823947" w:rsidRDefault="00C15C35" w:rsidP="00CB6EA3">
      <w:pPr>
        <w:spacing w:line="0" w:lineRule="atLeast"/>
        <w:ind w:left="360"/>
        <w:jc w:val="both"/>
        <w:rPr>
          <w:rFonts w:ascii="Arial" w:hAnsi="Arial" w:cs="Arial"/>
          <w:sz w:val="20"/>
        </w:rPr>
      </w:pPr>
      <w:r w:rsidRPr="009D7A9F">
        <w:rPr>
          <w:rFonts w:ascii="Arial" w:hAnsi="Arial" w:cs="Arial"/>
          <w:sz w:val="20"/>
          <w:u w:val="single"/>
        </w:rPr>
        <w:t xml:space="preserve">Standard assurance-type </w:t>
      </w:r>
      <w:r w:rsidR="00296419" w:rsidRPr="009D7A9F">
        <w:rPr>
          <w:rFonts w:ascii="Arial" w:hAnsi="Arial" w:cs="Arial"/>
          <w:sz w:val="20"/>
          <w:u w:val="single"/>
        </w:rPr>
        <w:t>warranties</w:t>
      </w:r>
      <w:r w:rsidR="00AB2EBD" w:rsidRPr="009D7A9F">
        <w:rPr>
          <w:rFonts w:ascii="Arial" w:hAnsi="Arial" w:cs="Arial"/>
          <w:sz w:val="20"/>
        </w:rPr>
        <w:t xml:space="preserve">: </w:t>
      </w:r>
      <w:r w:rsidR="00314F9E">
        <w:rPr>
          <w:rFonts w:ascii="Arial" w:hAnsi="Arial" w:cs="Arial"/>
          <w:sz w:val="20"/>
        </w:rPr>
        <w:t xml:space="preserve">A standard assurance-type warranty </w:t>
      </w:r>
      <w:r w:rsidR="00296419">
        <w:rPr>
          <w:rFonts w:ascii="Arial" w:hAnsi="Arial" w:cs="Arial"/>
          <w:sz w:val="20"/>
        </w:rPr>
        <w:t xml:space="preserve">is a warranty that </w:t>
      </w:r>
      <w:r>
        <w:rPr>
          <w:rFonts w:ascii="Arial" w:hAnsi="Arial" w:cs="Arial"/>
          <w:sz w:val="20"/>
        </w:rPr>
        <w:t>the customer does not have the option to</w:t>
      </w:r>
      <w:r w:rsidR="00296419">
        <w:rPr>
          <w:rFonts w:ascii="Arial" w:hAnsi="Arial" w:cs="Arial"/>
          <w:sz w:val="20"/>
        </w:rPr>
        <w:t xml:space="preserve"> purchase separately </w:t>
      </w:r>
      <w:r w:rsidR="00296419" w:rsidRPr="009D7A9F">
        <w:rPr>
          <w:rFonts w:ascii="Arial" w:hAnsi="Arial" w:cs="Arial"/>
          <w:i/>
          <w:iCs/>
          <w:sz w:val="20"/>
          <w:u w:val="single"/>
        </w:rPr>
        <w:t>and</w:t>
      </w:r>
      <w:r w:rsidR="00296419">
        <w:rPr>
          <w:rFonts w:ascii="Arial" w:hAnsi="Arial" w:cs="Arial"/>
          <w:sz w:val="20"/>
        </w:rPr>
        <w:t xml:space="preserve"> only provides assurance that a product will function as expected and in accordance with certain specifications</w:t>
      </w:r>
      <w:r>
        <w:rPr>
          <w:rFonts w:ascii="Arial" w:hAnsi="Arial" w:cs="Arial"/>
          <w:sz w:val="20"/>
        </w:rPr>
        <w:t xml:space="preserve"> (</w:t>
      </w:r>
      <w:proofErr w:type="gramStart"/>
      <w:r>
        <w:rPr>
          <w:rFonts w:ascii="Arial" w:hAnsi="Arial" w:cs="Arial"/>
          <w:sz w:val="20"/>
        </w:rPr>
        <w:t>i.e.,,</w:t>
      </w:r>
      <w:proofErr w:type="gramEnd"/>
      <w:r>
        <w:rPr>
          <w:rFonts w:ascii="Arial" w:hAnsi="Arial" w:cs="Arial"/>
          <w:sz w:val="20"/>
        </w:rPr>
        <w:t xml:space="preserve"> the warranty is intended to safeguard the customer against existing defects and does not provide any incremental service to the customer). </w:t>
      </w:r>
      <w:proofErr w:type="gramStart"/>
      <w:r w:rsidR="00CB6EA3">
        <w:rPr>
          <w:rFonts w:ascii="Arial" w:hAnsi="Arial" w:cs="Arial"/>
          <w:sz w:val="20"/>
        </w:rPr>
        <w:t>All of</w:t>
      </w:r>
      <w:proofErr w:type="gramEnd"/>
      <w:r w:rsidR="00CB6EA3">
        <w:rPr>
          <w:rFonts w:ascii="Arial" w:hAnsi="Arial" w:cs="Arial"/>
          <w:sz w:val="20"/>
        </w:rPr>
        <w:t xml:space="preserve"> the Company’s product offerings include an </w:t>
      </w:r>
      <w:proofErr w:type="gramStart"/>
      <w:r w:rsidR="00CB6EA3">
        <w:rPr>
          <w:rFonts w:ascii="Arial" w:hAnsi="Arial" w:cs="Arial"/>
          <w:sz w:val="20"/>
        </w:rPr>
        <w:t>express written</w:t>
      </w:r>
      <w:proofErr w:type="gramEnd"/>
      <w:r w:rsidR="00CB6EA3">
        <w:rPr>
          <w:rFonts w:ascii="Arial" w:hAnsi="Arial" w:cs="Arial"/>
          <w:sz w:val="20"/>
        </w:rPr>
        <w:t xml:space="preserve"> </w:t>
      </w:r>
      <w:proofErr w:type="gramStart"/>
      <w:r w:rsidR="00CB6EA3">
        <w:rPr>
          <w:rFonts w:ascii="Arial" w:hAnsi="Arial" w:cs="Arial"/>
          <w:sz w:val="20"/>
        </w:rPr>
        <w:t>assurance-type</w:t>
      </w:r>
      <w:proofErr w:type="gramEnd"/>
      <w:r w:rsidR="00CB6EA3">
        <w:rPr>
          <w:rFonts w:ascii="Arial" w:hAnsi="Arial" w:cs="Arial"/>
          <w:sz w:val="20"/>
        </w:rPr>
        <w:t xml:space="preserve"> warranty (i.e., limited to repair or replacement of the product, or its nonconforming parts, within a reasonable </w:t>
      </w:r>
      <w:proofErr w:type="gramStart"/>
      <w:r w:rsidR="00CB6EA3">
        <w:rPr>
          <w:rFonts w:ascii="Arial" w:hAnsi="Arial" w:cs="Arial"/>
          <w:sz w:val="20"/>
        </w:rPr>
        <w:t>period of time</w:t>
      </w:r>
      <w:proofErr w:type="gramEnd"/>
      <w:r w:rsidR="00CB6EA3">
        <w:rPr>
          <w:rFonts w:ascii="Arial" w:hAnsi="Arial" w:cs="Arial"/>
          <w:sz w:val="20"/>
        </w:rPr>
        <w:t xml:space="preserve">). This standard warranty is accounted for as a cost accrual under product warranties in accordance with ASC 460 (Guarantees) and ASC 450-20 (Loss Contingencies). The warranty accrual </w:t>
      </w:r>
      <w:r w:rsidR="00823947">
        <w:rPr>
          <w:rFonts w:ascii="Arial" w:hAnsi="Arial" w:cs="Arial"/>
          <w:sz w:val="20"/>
        </w:rPr>
        <w:t xml:space="preserve">(liability) </w:t>
      </w:r>
      <w:r w:rsidR="00CB6EA3">
        <w:rPr>
          <w:rFonts w:ascii="Arial" w:hAnsi="Arial" w:cs="Arial"/>
          <w:sz w:val="20"/>
        </w:rPr>
        <w:t xml:space="preserve">should be recorded at the time of </w:t>
      </w:r>
      <w:r w:rsidR="00823947">
        <w:rPr>
          <w:rFonts w:ascii="Arial" w:hAnsi="Arial" w:cs="Arial"/>
          <w:sz w:val="20"/>
        </w:rPr>
        <w:t>sale with the offset to warranty expense</w:t>
      </w:r>
      <w:r w:rsidR="005405C1">
        <w:rPr>
          <w:rFonts w:ascii="Arial" w:hAnsi="Arial" w:cs="Arial"/>
          <w:sz w:val="20"/>
        </w:rPr>
        <w:t xml:space="preserve">- cost of goods sold </w:t>
      </w:r>
      <w:r w:rsidR="00823947">
        <w:rPr>
          <w:rFonts w:ascii="Arial" w:hAnsi="Arial" w:cs="Arial"/>
          <w:sz w:val="20"/>
        </w:rPr>
        <w:t>(</w:t>
      </w:r>
      <w:r w:rsidR="005405C1">
        <w:rPr>
          <w:rFonts w:ascii="Arial" w:hAnsi="Arial" w:cs="Arial"/>
          <w:sz w:val="20"/>
        </w:rPr>
        <w:t>COGS</w:t>
      </w:r>
      <w:r w:rsidR="00823947">
        <w:rPr>
          <w:rFonts w:ascii="Arial" w:hAnsi="Arial" w:cs="Arial"/>
          <w:sz w:val="20"/>
        </w:rPr>
        <w:t xml:space="preserve">). </w:t>
      </w:r>
      <w:r w:rsidR="00CB6EA3">
        <w:rPr>
          <w:rFonts w:ascii="Arial" w:hAnsi="Arial" w:cs="Arial"/>
          <w:sz w:val="20"/>
        </w:rPr>
        <w:t xml:space="preserve">The accrual amount is </w:t>
      </w:r>
      <w:r w:rsidR="00823947">
        <w:rPr>
          <w:rFonts w:ascii="Arial" w:hAnsi="Arial" w:cs="Arial"/>
          <w:sz w:val="20"/>
        </w:rPr>
        <w:t xml:space="preserve">generally </w:t>
      </w:r>
      <w:r w:rsidR="00CB6EA3">
        <w:rPr>
          <w:rFonts w:ascii="Arial" w:hAnsi="Arial" w:cs="Arial"/>
          <w:sz w:val="20"/>
        </w:rPr>
        <w:t xml:space="preserve">based on a percentage of sales, determined by historical warranty claim data, adjusted </w:t>
      </w:r>
      <w:r w:rsidR="005405C1">
        <w:rPr>
          <w:rFonts w:ascii="Arial" w:hAnsi="Arial" w:cs="Arial"/>
          <w:sz w:val="20"/>
        </w:rPr>
        <w:t xml:space="preserve">as needed </w:t>
      </w:r>
      <w:r w:rsidR="008935F1">
        <w:rPr>
          <w:rFonts w:ascii="Arial" w:hAnsi="Arial" w:cs="Arial"/>
          <w:sz w:val="20"/>
        </w:rPr>
        <w:t xml:space="preserve">for current product reliability data, changes in warranty terms, and other relevant factors that might affect future warranty claims. </w:t>
      </w:r>
      <w:r w:rsidR="00823947">
        <w:rPr>
          <w:rFonts w:ascii="Arial" w:hAnsi="Arial" w:cs="Arial"/>
          <w:sz w:val="20"/>
        </w:rPr>
        <w:t xml:space="preserve">Rates and assumptions are reviewed regularly (generally quarterly) and adjustments made based on actual warranty claim experience, changes in product mix, and other relevant factors.  </w:t>
      </w:r>
    </w:p>
    <w:p w14:paraId="183E9E36" w14:textId="77777777" w:rsidR="00823947" w:rsidRDefault="00823947" w:rsidP="00823947">
      <w:pPr>
        <w:spacing w:line="0" w:lineRule="atLeast"/>
        <w:ind w:left="360"/>
        <w:jc w:val="both"/>
        <w:rPr>
          <w:rFonts w:ascii="Arial" w:hAnsi="Arial" w:cs="Arial"/>
          <w:sz w:val="20"/>
        </w:rPr>
      </w:pPr>
    </w:p>
    <w:p w14:paraId="7BADC34E" w14:textId="77777777" w:rsidR="00314F9E" w:rsidRDefault="00823947" w:rsidP="00823947">
      <w:pPr>
        <w:spacing w:line="0" w:lineRule="atLeast"/>
        <w:ind w:left="360"/>
        <w:jc w:val="both"/>
        <w:rPr>
          <w:rFonts w:ascii="Arial" w:hAnsi="Arial" w:cs="Arial"/>
          <w:sz w:val="20"/>
        </w:rPr>
      </w:pPr>
      <w:r w:rsidRPr="009D7A9F">
        <w:rPr>
          <w:rFonts w:ascii="Arial" w:hAnsi="Arial" w:cs="Arial"/>
          <w:sz w:val="20"/>
          <w:u w:val="single"/>
        </w:rPr>
        <w:t>Service</w:t>
      </w:r>
      <w:r w:rsidR="00314F9E">
        <w:rPr>
          <w:rFonts w:ascii="Arial" w:hAnsi="Arial" w:cs="Arial"/>
          <w:sz w:val="20"/>
          <w:u w:val="single"/>
        </w:rPr>
        <w:t>-</w:t>
      </w:r>
      <w:r w:rsidRPr="009D7A9F">
        <w:rPr>
          <w:rFonts w:ascii="Arial" w:hAnsi="Arial" w:cs="Arial"/>
          <w:sz w:val="20"/>
          <w:u w:val="single"/>
        </w:rPr>
        <w:t>type warranties and optional purchase standard assurance-type warrant</w:t>
      </w:r>
      <w:r w:rsidR="005405C1" w:rsidRPr="009D7A9F">
        <w:rPr>
          <w:rFonts w:ascii="Arial" w:hAnsi="Arial" w:cs="Arial"/>
          <w:sz w:val="20"/>
          <w:u w:val="single"/>
        </w:rPr>
        <w:t>ies</w:t>
      </w:r>
      <w:r w:rsidR="00314F9E">
        <w:rPr>
          <w:rFonts w:ascii="Arial" w:hAnsi="Arial" w:cs="Arial"/>
          <w:sz w:val="20"/>
        </w:rPr>
        <w:t xml:space="preserve">: </w:t>
      </w:r>
    </w:p>
    <w:p w14:paraId="0D7ECB65" w14:textId="0AD98056" w:rsidR="00314F9E" w:rsidRDefault="00314F9E" w:rsidP="00314F9E">
      <w:pPr>
        <w:pStyle w:val="ListParagraph"/>
        <w:numPr>
          <w:ilvl w:val="0"/>
          <w:numId w:val="73"/>
        </w:numPr>
        <w:spacing w:line="0" w:lineRule="atLeast"/>
        <w:jc w:val="both"/>
        <w:rPr>
          <w:rFonts w:ascii="Arial" w:hAnsi="Arial" w:cs="Arial"/>
          <w:sz w:val="20"/>
        </w:rPr>
      </w:pPr>
      <w:r w:rsidRPr="009D7A9F">
        <w:rPr>
          <w:rFonts w:ascii="Arial" w:hAnsi="Arial" w:cs="Arial"/>
          <w:sz w:val="20"/>
        </w:rPr>
        <w:t xml:space="preserve">A service-type warranty that provides the customer with a service (e.g., </w:t>
      </w:r>
      <w:r w:rsidRPr="009D7A9F">
        <w:rPr>
          <w:rFonts w:ascii="Arial" w:hAnsi="Arial" w:cs="Arial"/>
          <w:sz w:val="20"/>
          <w:szCs w:val="20"/>
        </w:rPr>
        <w:t xml:space="preserve">such as protecting against wear and tear for a period of time after sale or against certain types of damage) </w:t>
      </w:r>
      <w:r w:rsidRPr="009D7A9F">
        <w:rPr>
          <w:rFonts w:ascii="Arial" w:hAnsi="Arial" w:cs="Arial"/>
          <w:i/>
          <w:iCs/>
          <w:sz w:val="20"/>
        </w:rPr>
        <w:t>in addition to</w:t>
      </w:r>
      <w:r w:rsidRPr="009D7A9F">
        <w:rPr>
          <w:rFonts w:ascii="Arial" w:hAnsi="Arial" w:cs="Arial"/>
          <w:sz w:val="20"/>
        </w:rPr>
        <w:t xml:space="preserve"> assuring that the product complies with agreed-upon specifications, should be accounted for as a separate performance obligation under ASC 606 (Revenue) as opposed to a warranty </w:t>
      </w:r>
      <w:r>
        <w:rPr>
          <w:rFonts w:ascii="Arial" w:hAnsi="Arial" w:cs="Arial"/>
          <w:sz w:val="20"/>
        </w:rPr>
        <w:t xml:space="preserve">cost </w:t>
      </w:r>
      <w:r w:rsidRPr="009D7A9F">
        <w:rPr>
          <w:rFonts w:ascii="Arial" w:hAnsi="Arial" w:cs="Arial"/>
          <w:sz w:val="20"/>
        </w:rPr>
        <w:t>accrual as discussed above under standard</w:t>
      </w:r>
      <w:r>
        <w:rPr>
          <w:rFonts w:ascii="Arial" w:hAnsi="Arial" w:cs="Arial"/>
          <w:sz w:val="20"/>
        </w:rPr>
        <w:t xml:space="preserve"> </w:t>
      </w:r>
      <w:r w:rsidRPr="009D7A9F">
        <w:rPr>
          <w:rFonts w:ascii="Arial" w:hAnsi="Arial" w:cs="Arial"/>
          <w:sz w:val="20"/>
        </w:rPr>
        <w:t>assuranc</w:t>
      </w:r>
      <w:r>
        <w:rPr>
          <w:rFonts w:ascii="Arial" w:hAnsi="Arial" w:cs="Arial"/>
          <w:sz w:val="20"/>
        </w:rPr>
        <w:t>e-</w:t>
      </w:r>
      <w:r w:rsidRPr="009D7A9F">
        <w:rPr>
          <w:rFonts w:ascii="Arial" w:hAnsi="Arial" w:cs="Arial"/>
          <w:sz w:val="20"/>
        </w:rPr>
        <w:t xml:space="preserve">type warranties. </w:t>
      </w:r>
      <w:r w:rsidR="001D4F8E">
        <w:rPr>
          <w:rFonts w:ascii="Arial" w:hAnsi="Arial" w:cs="Arial"/>
          <w:sz w:val="20"/>
        </w:rPr>
        <w:t xml:space="preserve">Revenue allocated to this type of warranty is recognized over the warranty period.  </w:t>
      </w:r>
    </w:p>
    <w:p w14:paraId="06C03454" w14:textId="77777777" w:rsidR="001D4F8E" w:rsidRDefault="00314F9E" w:rsidP="001D4F8E">
      <w:pPr>
        <w:pStyle w:val="ListParagraph"/>
        <w:numPr>
          <w:ilvl w:val="0"/>
          <w:numId w:val="73"/>
        </w:numPr>
        <w:spacing w:line="0" w:lineRule="atLeast"/>
        <w:jc w:val="both"/>
        <w:rPr>
          <w:rFonts w:ascii="Arial" w:hAnsi="Arial" w:cs="Arial"/>
          <w:sz w:val="20"/>
        </w:rPr>
      </w:pPr>
      <w:proofErr w:type="gramStart"/>
      <w:r>
        <w:rPr>
          <w:rFonts w:ascii="Arial" w:hAnsi="Arial" w:cs="Arial"/>
          <w:sz w:val="20"/>
        </w:rPr>
        <w:t>A</w:t>
      </w:r>
      <w:proofErr w:type="gramEnd"/>
      <w:r>
        <w:rPr>
          <w:rFonts w:ascii="Arial" w:hAnsi="Arial" w:cs="Arial"/>
          <w:sz w:val="20"/>
        </w:rPr>
        <w:t xml:space="preserve"> optional </w:t>
      </w:r>
      <w:r w:rsidR="001D4F8E">
        <w:rPr>
          <w:rFonts w:ascii="Arial" w:hAnsi="Arial" w:cs="Arial"/>
          <w:sz w:val="20"/>
        </w:rPr>
        <w:t xml:space="preserve">purchase standard assurance-type warranty that the customer can purchase separately from the related product or service (that is, priced or negotiated separately) is accounted for as a separate performance obligation under ASC 606 (Revenue) as opposed to a warranty cost accrual. Revenue allocated to this type of warranty is recognized over the warranty period.  </w:t>
      </w:r>
    </w:p>
    <w:p w14:paraId="080282D2" w14:textId="179E0BB0" w:rsidR="00823947" w:rsidRPr="009D7A9F" w:rsidRDefault="00823947" w:rsidP="009D7A9F">
      <w:pPr>
        <w:pStyle w:val="ListParagraph"/>
        <w:spacing w:line="0" w:lineRule="atLeast"/>
        <w:ind w:left="1080"/>
        <w:jc w:val="both"/>
        <w:rPr>
          <w:rFonts w:ascii="Arial" w:hAnsi="Arial" w:cs="Arial"/>
          <w:sz w:val="20"/>
        </w:rPr>
      </w:pPr>
    </w:p>
    <w:p w14:paraId="4FA820A5" w14:textId="2AD8C9D9" w:rsidR="001D4F8E" w:rsidRPr="009D7A9F" w:rsidRDefault="001D4F8E" w:rsidP="009D7A9F">
      <w:pPr>
        <w:spacing w:line="0" w:lineRule="atLeast"/>
        <w:ind w:left="360"/>
        <w:contextualSpacing/>
        <w:jc w:val="both"/>
        <w:rPr>
          <w:rFonts w:ascii="Arial" w:hAnsi="Arial" w:cs="Arial"/>
          <w:i/>
          <w:sz w:val="20"/>
          <w:u w:val="single"/>
        </w:rPr>
      </w:pPr>
      <w:r w:rsidRPr="009D7A9F">
        <w:rPr>
          <w:rFonts w:ascii="Arial" w:hAnsi="Arial" w:cs="Arial"/>
          <w:i/>
          <w:sz w:val="20"/>
          <w:u w:val="single"/>
        </w:rPr>
        <w:t xml:space="preserve">Refer to the separate </w:t>
      </w:r>
      <w:r w:rsidRPr="009D7A9F">
        <w:rPr>
          <w:rFonts w:ascii="Arial" w:hAnsi="Arial" w:cs="Arial"/>
          <w:b/>
          <w:i/>
          <w:sz w:val="20"/>
          <w:u w:val="single"/>
        </w:rPr>
        <w:t>Bioventus Global Revenue Recognition Policy</w:t>
      </w:r>
      <w:r w:rsidRPr="009D7A9F">
        <w:rPr>
          <w:rFonts w:ascii="Arial" w:hAnsi="Arial" w:cs="Arial"/>
          <w:i/>
          <w:sz w:val="20"/>
          <w:u w:val="single"/>
        </w:rPr>
        <w:t xml:space="preserve"> on </w:t>
      </w:r>
      <w:proofErr w:type="spellStart"/>
      <w:r w:rsidRPr="009D7A9F">
        <w:rPr>
          <w:rFonts w:ascii="Arial" w:hAnsi="Arial" w:cs="Arial"/>
          <w:i/>
          <w:sz w:val="20"/>
          <w:u w:val="single"/>
        </w:rPr>
        <w:t>Bionet</w:t>
      </w:r>
      <w:proofErr w:type="spellEnd"/>
      <w:r w:rsidRPr="009D7A9F">
        <w:rPr>
          <w:rFonts w:ascii="Arial" w:hAnsi="Arial" w:cs="Arial"/>
          <w:i/>
          <w:sz w:val="20"/>
          <w:u w:val="single"/>
        </w:rPr>
        <w:t xml:space="preserve"> for factors to consider in determining the type of warranty and further revenue recognition considerations. </w:t>
      </w:r>
    </w:p>
    <w:p w14:paraId="4207FF8E" w14:textId="2A00C60D" w:rsidR="00DF7DFD" w:rsidRDefault="00DF7DFD" w:rsidP="009D7A9F">
      <w:pPr>
        <w:spacing w:line="0" w:lineRule="atLeast"/>
        <w:ind w:left="360"/>
        <w:jc w:val="both"/>
        <w:rPr>
          <w:rFonts w:ascii="Arial" w:hAnsi="Arial" w:cs="Arial"/>
          <w:sz w:val="20"/>
        </w:rPr>
      </w:pPr>
    </w:p>
    <w:p w14:paraId="07947F8B" w14:textId="3140B2AB" w:rsidR="00DF7DFD" w:rsidRDefault="00F62BB8" w:rsidP="00B5048D">
      <w:pPr>
        <w:pStyle w:val="ListParagraph"/>
        <w:spacing w:line="0" w:lineRule="atLeast"/>
        <w:ind w:left="360"/>
        <w:contextualSpacing/>
        <w:jc w:val="both"/>
        <w:rPr>
          <w:rFonts w:ascii="Arial" w:hAnsi="Arial" w:cs="Arial"/>
          <w:sz w:val="20"/>
        </w:rPr>
      </w:pPr>
      <w:r w:rsidRPr="009D7A9F">
        <w:rPr>
          <w:rFonts w:ascii="Arial" w:hAnsi="Arial" w:cs="Arial"/>
          <w:sz w:val="20"/>
          <w:u w:val="single"/>
        </w:rPr>
        <w:t>Contingent gains</w:t>
      </w:r>
      <w:r>
        <w:rPr>
          <w:rFonts w:ascii="Arial" w:hAnsi="Arial" w:cs="Arial"/>
          <w:sz w:val="20"/>
        </w:rPr>
        <w:t xml:space="preserve"> should not be recognized prior to the gain being realized or realizable</w:t>
      </w:r>
      <w:r w:rsidR="00333746" w:rsidRPr="00333746">
        <w:rPr>
          <w:rFonts w:ascii="Arial" w:hAnsi="Arial" w:cs="Arial"/>
          <w:sz w:val="20"/>
        </w:rPr>
        <w:t xml:space="preserve"> even if realization is considered probable</w:t>
      </w:r>
      <w:r>
        <w:rPr>
          <w:rFonts w:ascii="Arial" w:hAnsi="Arial" w:cs="Arial"/>
          <w:sz w:val="20"/>
        </w:rPr>
        <w:t xml:space="preserve">. </w:t>
      </w:r>
    </w:p>
    <w:p w14:paraId="66ED9910" w14:textId="77777777" w:rsidR="00DF7DFD" w:rsidRDefault="00F62BB8" w:rsidP="00B5048D">
      <w:pPr>
        <w:numPr>
          <w:ilvl w:val="3"/>
          <w:numId w:val="5"/>
        </w:numPr>
        <w:spacing w:line="0" w:lineRule="atLeast"/>
        <w:ind w:left="990"/>
        <w:jc w:val="both"/>
        <w:rPr>
          <w:rFonts w:ascii="Arial" w:hAnsi="Arial" w:cs="Arial"/>
          <w:sz w:val="20"/>
        </w:rPr>
      </w:pPr>
      <w:r>
        <w:rPr>
          <w:rFonts w:ascii="Arial" w:hAnsi="Arial" w:cs="Arial"/>
          <w:sz w:val="20"/>
        </w:rPr>
        <w:t xml:space="preserve">A realized gain is one where cash (or other assets such as claims to cash) have already been received without expectation of repayment or refund. In situations where there is a claim to cash, there must be sufficient evidence to support that the company has a right to the cash to support that it is realized. </w:t>
      </w:r>
    </w:p>
    <w:p w14:paraId="4415E30A" w14:textId="77777777" w:rsidR="00DF7DFD" w:rsidRDefault="00F62BB8" w:rsidP="00B5048D">
      <w:pPr>
        <w:numPr>
          <w:ilvl w:val="3"/>
          <w:numId w:val="5"/>
        </w:numPr>
        <w:spacing w:line="0" w:lineRule="atLeast"/>
        <w:ind w:left="990"/>
        <w:jc w:val="both"/>
        <w:rPr>
          <w:rFonts w:ascii="Arial" w:hAnsi="Arial" w:cs="Arial"/>
          <w:sz w:val="20"/>
        </w:rPr>
      </w:pPr>
      <w:r>
        <w:rPr>
          <w:rFonts w:ascii="Arial" w:hAnsi="Arial" w:cs="Arial"/>
          <w:sz w:val="20"/>
        </w:rPr>
        <w:t>A gain is realizable when related assets received or held are readily convertible to known amounts of cash or claims to cash.</w:t>
      </w:r>
    </w:p>
    <w:p w14:paraId="16B3C383" w14:textId="77777777" w:rsidR="00DF7DFD" w:rsidRDefault="00F62BB8" w:rsidP="00B5048D">
      <w:pPr>
        <w:numPr>
          <w:ilvl w:val="3"/>
          <w:numId w:val="5"/>
        </w:numPr>
        <w:spacing w:line="0" w:lineRule="atLeast"/>
        <w:ind w:left="990"/>
        <w:jc w:val="both"/>
        <w:rPr>
          <w:rFonts w:ascii="Arial" w:hAnsi="Arial" w:cs="Arial"/>
          <w:sz w:val="20"/>
        </w:rPr>
      </w:pPr>
      <w:r>
        <w:rPr>
          <w:rFonts w:ascii="Arial" w:hAnsi="Arial" w:cs="Arial"/>
          <w:sz w:val="20"/>
        </w:rPr>
        <w:t>The assessment of whether a gain not yet realized is realizable requires significant judgment and should include the evaluation of the following factors, among others:</w:t>
      </w:r>
    </w:p>
    <w:p w14:paraId="09603A02" w14:textId="77777777" w:rsidR="00DF7DFD" w:rsidRDefault="00F62BB8" w:rsidP="00B5048D">
      <w:pPr>
        <w:numPr>
          <w:ilvl w:val="0"/>
          <w:numId w:val="29"/>
        </w:numPr>
        <w:spacing w:line="0" w:lineRule="atLeast"/>
        <w:jc w:val="both"/>
        <w:rPr>
          <w:rFonts w:ascii="Arial" w:hAnsi="Arial" w:cs="Arial"/>
          <w:sz w:val="20"/>
        </w:rPr>
      </w:pPr>
      <w:r>
        <w:rPr>
          <w:rFonts w:ascii="Arial" w:hAnsi="Arial" w:cs="Arial"/>
          <w:sz w:val="20"/>
        </w:rPr>
        <w:t>Whether there is a signed agreement or legally enforceable contract that stipulates the terms of the gain or settlement, and whether the settlement is subject to any pending or expected appeal.</w:t>
      </w:r>
    </w:p>
    <w:p w14:paraId="4B9E01CB" w14:textId="77777777" w:rsidR="00DF7DFD" w:rsidRDefault="00F62BB8" w:rsidP="00B5048D">
      <w:pPr>
        <w:numPr>
          <w:ilvl w:val="0"/>
          <w:numId w:val="29"/>
        </w:numPr>
        <w:spacing w:line="0" w:lineRule="atLeast"/>
        <w:jc w:val="both"/>
        <w:rPr>
          <w:rFonts w:ascii="Arial" w:hAnsi="Arial" w:cs="Arial"/>
          <w:sz w:val="20"/>
        </w:rPr>
      </w:pPr>
      <w:r>
        <w:rPr>
          <w:rFonts w:ascii="Arial" w:hAnsi="Arial" w:cs="Arial"/>
          <w:sz w:val="20"/>
        </w:rPr>
        <w:t>Whether the counterparty has the ability or wherewithal to pay the amount.</w:t>
      </w:r>
    </w:p>
    <w:p w14:paraId="07B7A2E3" w14:textId="23436F7A" w:rsidR="00DF7DFD" w:rsidRDefault="00F62BB8" w:rsidP="00B5048D">
      <w:pPr>
        <w:numPr>
          <w:ilvl w:val="0"/>
          <w:numId w:val="29"/>
        </w:numPr>
        <w:spacing w:line="0" w:lineRule="atLeast"/>
        <w:jc w:val="both"/>
        <w:rPr>
          <w:rFonts w:ascii="Arial" w:hAnsi="Arial" w:cs="Arial"/>
          <w:sz w:val="20"/>
        </w:rPr>
      </w:pPr>
      <w:r>
        <w:rPr>
          <w:rFonts w:ascii="Arial" w:hAnsi="Arial" w:cs="Arial"/>
          <w:sz w:val="20"/>
        </w:rPr>
        <w:t xml:space="preserve">Whether the right to receive the proceeds </w:t>
      </w:r>
      <w:r w:rsidR="0069033E">
        <w:rPr>
          <w:rFonts w:ascii="Arial" w:hAnsi="Arial" w:cs="Arial"/>
          <w:sz w:val="20"/>
        </w:rPr>
        <w:t>results</w:t>
      </w:r>
      <w:r>
        <w:rPr>
          <w:rFonts w:ascii="Arial" w:hAnsi="Arial" w:cs="Arial"/>
          <w:sz w:val="20"/>
        </w:rPr>
        <w:t xml:space="preserve"> in a probable future economic benefit.</w:t>
      </w:r>
    </w:p>
    <w:p w14:paraId="70B75C65" w14:textId="77777777" w:rsidR="00333746" w:rsidRPr="00333746" w:rsidRDefault="00333746" w:rsidP="00B5048D">
      <w:pPr>
        <w:numPr>
          <w:ilvl w:val="0"/>
          <w:numId w:val="29"/>
        </w:numPr>
        <w:spacing w:line="0" w:lineRule="atLeast"/>
        <w:jc w:val="both"/>
        <w:rPr>
          <w:rFonts w:ascii="Arial" w:hAnsi="Arial" w:cs="Arial"/>
          <w:sz w:val="20"/>
        </w:rPr>
      </w:pPr>
      <w:r w:rsidRPr="00333746">
        <w:rPr>
          <w:rFonts w:ascii="Arial" w:hAnsi="Arial" w:cs="Arial"/>
          <w:sz w:val="20"/>
        </w:rPr>
        <w:t xml:space="preserve">No remaining legislative or regulatory approval is needed.  </w:t>
      </w:r>
    </w:p>
    <w:p w14:paraId="45608501" w14:textId="77777777" w:rsidR="00333746" w:rsidRPr="00333746" w:rsidRDefault="00333746" w:rsidP="00B5048D">
      <w:pPr>
        <w:numPr>
          <w:ilvl w:val="0"/>
          <w:numId w:val="29"/>
        </w:numPr>
        <w:spacing w:line="0" w:lineRule="atLeast"/>
        <w:jc w:val="both"/>
        <w:rPr>
          <w:rFonts w:ascii="Arial" w:hAnsi="Arial" w:cs="Arial"/>
          <w:sz w:val="20"/>
        </w:rPr>
      </w:pPr>
      <w:r w:rsidRPr="00333746">
        <w:rPr>
          <w:rFonts w:ascii="Arial" w:hAnsi="Arial" w:cs="Arial"/>
          <w:sz w:val="20"/>
        </w:rPr>
        <w:t xml:space="preserve">Amount to be received is (1) nonrefundable and (2) no subject to any other type of </w:t>
      </w:r>
      <w:proofErr w:type="spellStart"/>
      <w:r w:rsidRPr="00333746">
        <w:rPr>
          <w:rFonts w:ascii="Arial" w:hAnsi="Arial" w:cs="Arial"/>
          <w:sz w:val="20"/>
        </w:rPr>
        <w:t>clawback</w:t>
      </w:r>
      <w:proofErr w:type="spellEnd"/>
      <w:r w:rsidRPr="00333746">
        <w:rPr>
          <w:rFonts w:ascii="Arial" w:hAnsi="Arial" w:cs="Arial"/>
          <w:sz w:val="20"/>
        </w:rPr>
        <w:t xml:space="preserve"> arrangement</w:t>
      </w:r>
    </w:p>
    <w:p w14:paraId="22DB4A03" w14:textId="77777777" w:rsidR="00333746" w:rsidRPr="00333746" w:rsidRDefault="00333746" w:rsidP="00B5048D">
      <w:pPr>
        <w:numPr>
          <w:ilvl w:val="0"/>
          <w:numId w:val="29"/>
        </w:numPr>
        <w:spacing w:line="0" w:lineRule="atLeast"/>
        <w:jc w:val="both"/>
        <w:rPr>
          <w:rFonts w:ascii="Arial" w:hAnsi="Arial" w:cs="Arial"/>
          <w:sz w:val="20"/>
        </w:rPr>
      </w:pPr>
      <w:r w:rsidRPr="00333746">
        <w:rPr>
          <w:rFonts w:ascii="Arial" w:hAnsi="Arial" w:cs="Arial"/>
          <w:sz w:val="20"/>
        </w:rPr>
        <w:t>Realization is not contingent on the Company’s future performance requirement or on future events outside of the Company’s control</w:t>
      </w:r>
    </w:p>
    <w:p w14:paraId="76A04AAF" w14:textId="77777777" w:rsidR="00333746" w:rsidRDefault="00333746" w:rsidP="00B5048D">
      <w:pPr>
        <w:spacing w:line="0" w:lineRule="atLeast"/>
        <w:ind w:left="1350"/>
        <w:jc w:val="both"/>
        <w:rPr>
          <w:rFonts w:ascii="Arial" w:hAnsi="Arial" w:cs="Arial"/>
          <w:sz w:val="20"/>
        </w:rPr>
      </w:pPr>
    </w:p>
    <w:p w14:paraId="6D0F9A35" w14:textId="77777777" w:rsidR="00DF7DFD" w:rsidRPr="00AB1EE6"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83" w:name="_Fair_Value"/>
      <w:bookmarkEnd w:id="83"/>
      <w:r w:rsidRPr="00AB1EE6">
        <w:rPr>
          <w:rFonts w:ascii="Century Gothic" w:hAnsi="Century Gothic" w:cs="Arial"/>
          <w:bCs w:val="0"/>
          <w:sz w:val="20"/>
        </w:rPr>
        <w:t xml:space="preserve">Fair Value </w:t>
      </w:r>
    </w:p>
    <w:p w14:paraId="0A9BD958"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Fair value is defined as the price that would be received from selling an asset or paid to transfer a liability in the principal or most advantageous market for the asset or liability in an orderly transaction between market participants at the measurement date. </w:t>
      </w:r>
    </w:p>
    <w:p w14:paraId="17EDC2A3" w14:textId="77777777" w:rsidR="00DF7DFD" w:rsidRDefault="00DF7DFD" w:rsidP="00B5048D">
      <w:pPr>
        <w:pStyle w:val="ListParagraph"/>
        <w:spacing w:line="0" w:lineRule="atLeast"/>
        <w:ind w:left="360"/>
        <w:contextualSpacing/>
        <w:jc w:val="both"/>
        <w:rPr>
          <w:rFonts w:ascii="Arial" w:hAnsi="Arial" w:cs="Arial"/>
          <w:sz w:val="20"/>
        </w:rPr>
      </w:pPr>
    </w:p>
    <w:p w14:paraId="1750AD80"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The three levels of </w:t>
      </w:r>
      <w:proofErr w:type="gramStart"/>
      <w:r>
        <w:rPr>
          <w:rFonts w:ascii="Arial" w:hAnsi="Arial" w:cs="Arial"/>
          <w:sz w:val="20"/>
        </w:rPr>
        <w:t>inputs</w:t>
      </w:r>
      <w:proofErr w:type="gramEnd"/>
      <w:r>
        <w:rPr>
          <w:rFonts w:ascii="Arial" w:hAnsi="Arial" w:cs="Arial"/>
          <w:sz w:val="20"/>
        </w:rPr>
        <w:t xml:space="preserve"> used to measure fair value are as follows: </w:t>
      </w:r>
    </w:p>
    <w:p w14:paraId="0D1CC984" w14:textId="77777777" w:rsidR="00DF7DFD" w:rsidRDefault="00F62BB8" w:rsidP="00B5048D">
      <w:pPr>
        <w:numPr>
          <w:ilvl w:val="3"/>
          <w:numId w:val="5"/>
        </w:numPr>
        <w:spacing w:line="0" w:lineRule="atLeast"/>
        <w:ind w:left="1080"/>
        <w:jc w:val="both"/>
        <w:rPr>
          <w:rFonts w:ascii="Arial" w:hAnsi="Arial" w:cs="Arial"/>
          <w:sz w:val="20"/>
        </w:rPr>
      </w:pPr>
      <w:r>
        <w:rPr>
          <w:rFonts w:ascii="Arial" w:hAnsi="Arial" w:cs="Arial"/>
          <w:sz w:val="20"/>
        </w:rPr>
        <w:t xml:space="preserve">Level 1—Quoted prices in active markets for identical assets or liabilities; </w:t>
      </w:r>
    </w:p>
    <w:p w14:paraId="246B8168" w14:textId="77777777" w:rsidR="00DF7DFD" w:rsidRDefault="00F62BB8" w:rsidP="00B5048D">
      <w:pPr>
        <w:numPr>
          <w:ilvl w:val="3"/>
          <w:numId w:val="5"/>
        </w:numPr>
        <w:spacing w:line="0" w:lineRule="atLeast"/>
        <w:ind w:left="1080"/>
        <w:jc w:val="both"/>
        <w:rPr>
          <w:rFonts w:ascii="Arial" w:hAnsi="Arial" w:cs="Arial"/>
          <w:sz w:val="20"/>
        </w:rPr>
      </w:pPr>
      <w:r>
        <w:rPr>
          <w:rFonts w:ascii="Arial" w:hAnsi="Arial" w:cs="Arial"/>
          <w:sz w:val="20"/>
        </w:rPr>
        <w:t xml:space="preserve">Level 2—Observable inputs other than quoted prices included within Level 1, such as quoted prices for similar assets and liabilities in active markets; quoted prices for identical or similar assets and liabilities in markets that are not active; or other inputs that are observable or can be corroborated by observable market data; and </w:t>
      </w:r>
    </w:p>
    <w:p w14:paraId="4B502BF4" w14:textId="77777777" w:rsidR="00DF7DFD" w:rsidRDefault="00F62BB8" w:rsidP="00B5048D">
      <w:pPr>
        <w:numPr>
          <w:ilvl w:val="3"/>
          <w:numId w:val="5"/>
        </w:numPr>
        <w:spacing w:line="0" w:lineRule="atLeast"/>
        <w:ind w:left="1080"/>
        <w:jc w:val="both"/>
        <w:rPr>
          <w:rFonts w:ascii="Arial" w:hAnsi="Arial" w:cs="Arial"/>
          <w:sz w:val="20"/>
        </w:rPr>
      </w:pPr>
      <w:r>
        <w:rPr>
          <w:rFonts w:ascii="Arial" w:hAnsi="Arial" w:cs="Arial"/>
          <w:sz w:val="20"/>
        </w:rPr>
        <w:t>Level 3—Unobservable inputs that are supported by little or no market data. This includes certain pricing models, discounted cash flow methodologies and similar techniques that use significant unobservable inputs.</w:t>
      </w:r>
    </w:p>
    <w:p w14:paraId="5DB2F9D1" w14:textId="77777777" w:rsidR="00DF7DFD" w:rsidRDefault="00DF7DFD" w:rsidP="00B5048D">
      <w:pPr>
        <w:spacing w:line="0" w:lineRule="atLeast"/>
        <w:ind w:left="360"/>
        <w:jc w:val="both"/>
        <w:rPr>
          <w:rFonts w:ascii="Arial" w:hAnsi="Arial" w:cs="Arial"/>
          <w:sz w:val="20"/>
        </w:rPr>
      </w:pPr>
    </w:p>
    <w:p w14:paraId="3626C063" w14:textId="0F3456F2" w:rsidR="00DF7DFD" w:rsidRDefault="00F62BB8" w:rsidP="00B5048D">
      <w:pPr>
        <w:spacing w:line="0" w:lineRule="atLeast"/>
        <w:ind w:left="360"/>
        <w:jc w:val="both"/>
        <w:rPr>
          <w:rFonts w:ascii="Arial" w:hAnsi="Arial" w:cs="Arial"/>
          <w:sz w:val="20"/>
        </w:rPr>
      </w:pPr>
      <w:r>
        <w:rPr>
          <w:rFonts w:ascii="Arial" w:hAnsi="Arial" w:cs="Arial"/>
          <w:sz w:val="20"/>
        </w:rPr>
        <w:t xml:space="preserve">Below are </w:t>
      </w:r>
      <w:r w:rsidR="00842FD3">
        <w:rPr>
          <w:rFonts w:ascii="Arial" w:hAnsi="Arial" w:cs="Arial"/>
          <w:sz w:val="20"/>
        </w:rPr>
        <w:t xml:space="preserve">sample </w:t>
      </w:r>
      <w:r>
        <w:rPr>
          <w:rFonts w:ascii="Arial" w:hAnsi="Arial" w:cs="Arial"/>
          <w:sz w:val="20"/>
        </w:rPr>
        <w:t>liabilities</w:t>
      </w:r>
      <w:r w:rsidR="00842FD3">
        <w:rPr>
          <w:rFonts w:ascii="Arial" w:hAnsi="Arial" w:cs="Arial"/>
          <w:sz w:val="20"/>
        </w:rPr>
        <w:t xml:space="preserve"> and assets</w:t>
      </w:r>
      <w:r>
        <w:rPr>
          <w:rFonts w:ascii="Arial" w:hAnsi="Arial" w:cs="Arial"/>
          <w:sz w:val="20"/>
        </w:rPr>
        <w:t xml:space="preserve"> that are required to be recorded at fair value and how to determine the value on a quarterly basis: </w:t>
      </w:r>
    </w:p>
    <w:p w14:paraId="07AF5A4E" w14:textId="77777777" w:rsidR="00DF7DFD" w:rsidRDefault="00F62BB8" w:rsidP="00B5048D">
      <w:pPr>
        <w:numPr>
          <w:ilvl w:val="0"/>
          <w:numId w:val="3"/>
        </w:numPr>
        <w:spacing w:line="0" w:lineRule="atLeast"/>
        <w:ind w:left="1080"/>
        <w:jc w:val="both"/>
        <w:rPr>
          <w:rFonts w:ascii="Arial" w:hAnsi="Arial" w:cs="Arial"/>
          <w:sz w:val="20"/>
        </w:rPr>
      </w:pPr>
      <w:r>
        <w:rPr>
          <w:rFonts w:ascii="Arial" w:hAnsi="Arial" w:cs="Arial"/>
          <w:sz w:val="20"/>
        </w:rPr>
        <w:t>Contingent consideration- The value should be determined using a weighted probability calculation of potential payment scenarios discounted at rates reflective of the risks associated with the expected future cash flows. Key assumptions used should include revenue and operating forecasts and the probability of achieving the specific targets. The revaluation for this liability is recognized in its own unique expense account.</w:t>
      </w:r>
    </w:p>
    <w:p w14:paraId="6D28089F" w14:textId="77777777" w:rsidR="00DF7DFD" w:rsidRDefault="00F62BB8" w:rsidP="00B5048D">
      <w:pPr>
        <w:numPr>
          <w:ilvl w:val="0"/>
          <w:numId w:val="3"/>
        </w:numPr>
        <w:spacing w:line="0" w:lineRule="atLeast"/>
        <w:ind w:left="1080"/>
        <w:jc w:val="both"/>
        <w:rPr>
          <w:rFonts w:ascii="Arial" w:hAnsi="Arial" w:cs="Arial"/>
          <w:sz w:val="20"/>
        </w:rPr>
      </w:pPr>
      <w:r>
        <w:rPr>
          <w:rFonts w:ascii="Arial" w:hAnsi="Arial" w:cs="Arial"/>
          <w:sz w:val="20"/>
        </w:rPr>
        <w:t xml:space="preserve">Interest rate swaps- The value should be determined by discounting cash flows of the swap. Forward curves and volatility levels should be used to estimate future cash flows that are not certain. These are determined using observable market inputs when available and </w:t>
      </w:r>
      <w:proofErr w:type="gramStart"/>
      <w:r>
        <w:rPr>
          <w:rFonts w:ascii="Arial" w:hAnsi="Arial" w:cs="Arial"/>
          <w:sz w:val="20"/>
        </w:rPr>
        <w:t>on the basis of</w:t>
      </w:r>
      <w:proofErr w:type="gramEnd"/>
      <w:r>
        <w:rPr>
          <w:rFonts w:ascii="Arial" w:hAnsi="Arial" w:cs="Arial"/>
          <w:sz w:val="20"/>
        </w:rPr>
        <w:t xml:space="preserve"> estimates when not available. The revaluation for an interest rate swap is recognized </w:t>
      </w:r>
      <w:proofErr w:type="gramStart"/>
      <w:r>
        <w:rPr>
          <w:rFonts w:ascii="Arial" w:hAnsi="Arial" w:cs="Arial"/>
          <w:sz w:val="20"/>
        </w:rPr>
        <w:t>in</w:t>
      </w:r>
      <w:proofErr w:type="gramEnd"/>
      <w:r>
        <w:rPr>
          <w:rFonts w:ascii="Arial" w:hAnsi="Arial" w:cs="Arial"/>
          <w:sz w:val="20"/>
        </w:rPr>
        <w:t xml:space="preserve"> interest expense.</w:t>
      </w:r>
    </w:p>
    <w:p w14:paraId="33DFB4FF" w14:textId="7ABABA69" w:rsidR="00DF7DFD" w:rsidRDefault="00F1152B" w:rsidP="004C4A29">
      <w:pPr>
        <w:numPr>
          <w:ilvl w:val="0"/>
          <w:numId w:val="3"/>
        </w:numPr>
        <w:spacing w:line="0" w:lineRule="atLeast"/>
        <w:ind w:left="1080"/>
        <w:jc w:val="both"/>
        <w:rPr>
          <w:rFonts w:ascii="Arial" w:hAnsi="Arial" w:cs="Arial"/>
          <w:sz w:val="20"/>
        </w:rPr>
      </w:pPr>
      <w:r>
        <w:rPr>
          <w:rFonts w:ascii="Arial" w:hAnsi="Arial" w:cs="Arial"/>
          <w:sz w:val="20"/>
        </w:rPr>
        <w:t>L</w:t>
      </w:r>
      <w:r w:rsidR="00F62BB8">
        <w:rPr>
          <w:rFonts w:ascii="Arial" w:hAnsi="Arial" w:cs="Arial"/>
          <w:sz w:val="20"/>
        </w:rPr>
        <w:t>iability-classified awards and grant date (only) fair value for equity-classified awards</w:t>
      </w:r>
      <w:r w:rsidR="00DC178B">
        <w:rPr>
          <w:rFonts w:ascii="Arial" w:hAnsi="Arial" w:cs="Arial"/>
          <w:sz w:val="20"/>
        </w:rPr>
        <w:t xml:space="preserve"> except for awards under the Company’s employee stock purchase plan (</w:t>
      </w:r>
      <w:proofErr w:type="gramStart"/>
      <w:r w:rsidR="00DC178B">
        <w:rPr>
          <w:rFonts w:ascii="Arial" w:hAnsi="Arial" w:cs="Arial"/>
          <w:sz w:val="20"/>
        </w:rPr>
        <w:t>ESPP)</w:t>
      </w:r>
      <w:r w:rsidR="00F62BB8">
        <w:rPr>
          <w:rFonts w:ascii="Arial" w:hAnsi="Arial" w:cs="Arial"/>
          <w:sz w:val="20"/>
        </w:rPr>
        <w:t xml:space="preserve"> —</w:t>
      </w:r>
      <w:proofErr w:type="gramEnd"/>
      <w:r w:rsidR="00F62BB8">
        <w:rPr>
          <w:rFonts w:ascii="Arial" w:hAnsi="Arial" w:cs="Arial"/>
          <w:sz w:val="20"/>
        </w:rPr>
        <w:t xml:space="preserve"> The</w:t>
      </w:r>
      <w:r w:rsidR="005749E6">
        <w:rPr>
          <w:rFonts w:ascii="Arial" w:hAnsi="Arial" w:cs="Arial"/>
          <w:sz w:val="20"/>
        </w:rPr>
        <w:t xml:space="preserve"> Company may use a Black-Scholes</w:t>
      </w:r>
      <w:r w:rsidR="009065F3">
        <w:rPr>
          <w:rFonts w:ascii="Arial" w:hAnsi="Arial" w:cs="Arial"/>
          <w:sz w:val="20"/>
        </w:rPr>
        <w:t>-Merton</w:t>
      </w:r>
      <w:r w:rsidR="005749E6">
        <w:rPr>
          <w:rFonts w:ascii="Arial" w:hAnsi="Arial" w:cs="Arial"/>
          <w:sz w:val="20"/>
        </w:rPr>
        <w:t xml:space="preserve"> or </w:t>
      </w:r>
      <w:r w:rsidR="00F62BB8">
        <w:rPr>
          <w:rFonts w:ascii="Arial" w:hAnsi="Arial" w:cs="Arial"/>
          <w:sz w:val="20"/>
        </w:rPr>
        <w:t xml:space="preserve">Monte Carlo </w:t>
      </w:r>
      <w:r w:rsidR="005749E6">
        <w:rPr>
          <w:rFonts w:ascii="Arial" w:hAnsi="Arial" w:cs="Arial"/>
          <w:sz w:val="20"/>
        </w:rPr>
        <w:t>valuation</w:t>
      </w:r>
      <w:r w:rsidR="00F62BB8">
        <w:rPr>
          <w:rFonts w:ascii="Arial" w:hAnsi="Arial" w:cs="Arial"/>
          <w:sz w:val="20"/>
        </w:rPr>
        <w:t xml:space="preserve"> model to </w:t>
      </w:r>
      <w:r w:rsidR="005749E6">
        <w:rPr>
          <w:rFonts w:ascii="Arial" w:hAnsi="Arial" w:cs="Arial"/>
          <w:sz w:val="20"/>
        </w:rPr>
        <w:t>determine</w:t>
      </w:r>
      <w:r w:rsidR="00F62BB8">
        <w:rPr>
          <w:rFonts w:ascii="Arial" w:hAnsi="Arial" w:cs="Arial"/>
          <w:sz w:val="20"/>
        </w:rPr>
        <w:t xml:space="preserve"> </w:t>
      </w:r>
      <w:r w:rsidR="00915D31">
        <w:rPr>
          <w:rFonts w:ascii="Arial" w:hAnsi="Arial" w:cs="Arial"/>
          <w:sz w:val="20"/>
        </w:rPr>
        <w:t xml:space="preserve">an award’s </w:t>
      </w:r>
      <w:r w:rsidR="00F62BB8">
        <w:rPr>
          <w:rFonts w:ascii="Arial" w:hAnsi="Arial" w:cs="Arial"/>
          <w:sz w:val="20"/>
        </w:rPr>
        <w:t xml:space="preserve">fair value. Key assumptions used </w:t>
      </w:r>
      <w:r w:rsidR="005749E6">
        <w:rPr>
          <w:rFonts w:ascii="Arial" w:hAnsi="Arial" w:cs="Arial"/>
          <w:sz w:val="20"/>
        </w:rPr>
        <w:t>in a valuation model</w:t>
      </w:r>
      <w:r w:rsidR="00F62BB8">
        <w:rPr>
          <w:rFonts w:ascii="Arial" w:hAnsi="Arial" w:cs="Arial"/>
          <w:sz w:val="20"/>
        </w:rPr>
        <w:t xml:space="preserve"> include the following:</w:t>
      </w:r>
    </w:p>
    <w:p w14:paraId="5455D736" w14:textId="5E5CCF17" w:rsidR="00F835D8" w:rsidRPr="00F835D8" w:rsidRDefault="00F835D8" w:rsidP="004C4A29">
      <w:pPr>
        <w:numPr>
          <w:ilvl w:val="0"/>
          <w:numId w:val="30"/>
        </w:numPr>
        <w:spacing w:line="0" w:lineRule="atLeast"/>
        <w:jc w:val="both"/>
        <w:rPr>
          <w:rFonts w:ascii="Arial" w:hAnsi="Arial" w:cs="Arial"/>
          <w:sz w:val="20"/>
        </w:rPr>
      </w:pPr>
      <w:r>
        <w:rPr>
          <w:rFonts w:ascii="Arial" w:hAnsi="Arial" w:cs="Arial"/>
          <w:sz w:val="20"/>
        </w:rPr>
        <w:t>Expected term is the amount of time the award is expected to be outstanding before it is exercised or settled. Several factors are considered when determining the expected term which includes but is not limited to the award’s vesting period and contractual term, and historical exercise experience.</w:t>
      </w:r>
    </w:p>
    <w:p w14:paraId="282F7095" w14:textId="1269FD1B" w:rsidR="00DF7DFD" w:rsidRDefault="00F62BB8" w:rsidP="004C4A29">
      <w:pPr>
        <w:numPr>
          <w:ilvl w:val="0"/>
          <w:numId w:val="30"/>
        </w:numPr>
        <w:spacing w:line="0" w:lineRule="atLeast"/>
        <w:jc w:val="both"/>
        <w:rPr>
          <w:rFonts w:ascii="Arial" w:hAnsi="Arial" w:cs="Arial"/>
          <w:sz w:val="20"/>
        </w:rPr>
      </w:pPr>
      <w:r>
        <w:rPr>
          <w:rFonts w:ascii="Arial" w:hAnsi="Arial" w:cs="Arial"/>
          <w:sz w:val="20"/>
        </w:rPr>
        <w:t xml:space="preserve">Expected stock price volatility based on </w:t>
      </w:r>
      <w:r w:rsidR="00F835D8">
        <w:rPr>
          <w:rFonts w:ascii="Arial" w:hAnsi="Arial" w:cs="Arial"/>
          <w:sz w:val="20"/>
        </w:rPr>
        <w:t>a peer group’s</w:t>
      </w:r>
      <w:r w:rsidR="009065F3">
        <w:rPr>
          <w:rFonts w:ascii="Arial" w:hAnsi="Arial" w:cs="Arial"/>
          <w:sz w:val="20"/>
        </w:rPr>
        <w:t xml:space="preserve"> </w:t>
      </w:r>
      <w:r w:rsidR="00BC5CA7" w:rsidRPr="009065F3">
        <w:rPr>
          <w:rFonts w:ascii="Arial" w:hAnsi="Arial" w:cs="Arial"/>
          <w:sz w:val="20"/>
        </w:rPr>
        <w:t>historical</w:t>
      </w:r>
      <w:r>
        <w:rPr>
          <w:rFonts w:ascii="Arial" w:hAnsi="Arial" w:cs="Arial"/>
          <w:sz w:val="20"/>
        </w:rPr>
        <w:t xml:space="preserve"> </w:t>
      </w:r>
      <w:r w:rsidR="00BC5CA7">
        <w:rPr>
          <w:rFonts w:ascii="Arial" w:hAnsi="Arial" w:cs="Arial"/>
          <w:sz w:val="20"/>
        </w:rPr>
        <w:t xml:space="preserve">volatility </w:t>
      </w:r>
      <w:r>
        <w:rPr>
          <w:rFonts w:ascii="Arial" w:hAnsi="Arial" w:cs="Arial"/>
          <w:sz w:val="20"/>
        </w:rPr>
        <w:t xml:space="preserve">of </w:t>
      </w:r>
      <w:r w:rsidR="00BC5CA7">
        <w:rPr>
          <w:rFonts w:ascii="Arial" w:hAnsi="Arial" w:cs="Arial"/>
          <w:sz w:val="20"/>
        </w:rPr>
        <w:t xml:space="preserve">over </w:t>
      </w:r>
      <w:proofErr w:type="gramStart"/>
      <w:r w:rsidR="00F835D8">
        <w:rPr>
          <w:rFonts w:ascii="Arial" w:hAnsi="Arial" w:cs="Arial"/>
          <w:sz w:val="20"/>
        </w:rPr>
        <w:t>a period of time</w:t>
      </w:r>
      <w:proofErr w:type="gramEnd"/>
      <w:r w:rsidR="00F835D8">
        <w:rPr>
          <w:rFonts w:ascii="Arial" w:hAnsi="Arial" w:cs="Arial"/>
          <w:sz w:val="20"/>
        </w:rPr>
        <w:t xml:space="preserve"> equal to </w:t>
      </w:r>
      <w:r w:rsidR="00BC5CA7">
        <w:rPr>
          <w:rFonts w:ascii="Arial" w:hAnsi="Arial" w:cs="Arial"/>
          <w:sz w:val="20"/>
        </w:rPr>
        <w:t>the expected term</w:t>
      </w:r>
      <w:r w:rsidR="00F835D8">
        <w:rPr>
          <w:rFonts w:ascii="Arial" w:hAnsi="Arial" w:cs="Arial"/>
          <w:sz w:val="20"/>
        </w:rPr>
        <w:t xml:space="preserve"> due</w:t>
      </w:r>
      <w:r w:rsidR="00BC5CA7">
        <w:rPr>
          <w:rFonts w:ascii="Arial" w:hAnsi="Arial" w:cs="Arial"/>
          <w:sz w:val="20"/>
        </w:rPr>
        <w:t>. The peer group is comprised of publicly traded companies which are in the same industry as the Company and are similar in size, stage of life cycle and financial leverage</w:t>
      </w:r>
      <w:r>
        <w:rPr>
          <w:rFonts w:ascii="Arial" w:hAnsi="Arial" w:cs="Arial"/>
          <w:sz w:val="20"/>
        </w:rPr>
        <w:t>.</w:t>
      </w:r>
      <w:r w:rsidR="00F835D8">
        <w:rPr>
          <w:rFonts w:ascii="Arial" w:hAnsi="Arial" w:cs="Arial"/>
          <w:sz w:val="20"/>
        </w:rPr>
        <w:t xml:space="preserve"> Once the Company has sufficient historical experience, it will use its </w:t>
      </w:r>
      <w:r w:rsidR="009065F3">
        <w:rPr>
          <w:rFonts w:ascii="Arial" w:hAnsi="Arial" w:cs="Arial"/>
          <w:sz w:val="20"/>
        </w:rPr>
        <w:t xml:space="preserve">own </w:t>
      </w:r>
      <w:r w:rsidR="00F835D8">
        <w:rPr>
          <w:rFonts w:ascii="Arial" w:hAnsi="Arial" w:cs="Arial"/>
          <w:sz w:val="20"/>
        </w:rPr>
        <w:t>volatility.</w:t>
      </w:r>
    </w:p>
    <w:p w14:paraId="3EFEC4B8" w14:textId="750FDC5E" w:rsidR="00DF7DFD" w:rsidRDefault="00F62BB8" w:rsidP="004C4A29">
      <w:pPr>
        <w:numPr>
          <w:ilvl w:val="0"/>
          <w:numId w:val="30"/>
        </w:numPr>
        <w:spacing w:line="0" w:lineRule="atLeast"/>
        <w:jc w:val="both"/>
        <w:rPr>
          <w:rFonts w:ascii="Arial" w:hAnsi="Arial" w:cs="Arial"/>
          <w:sz w:val="20"/>
        </w:rPr>
      </w:pPr>
      <w:r>
        <w:rPr>
          <w:rFonts w:ascii="Arial" w:hAnsi="Arial" w:cs="Arial"/>
          <w:sz w:val="20"/>
        </w:rPr>
        <w:t xml:space="preserve">Risk-free interest rate based on </w:t>
      </w:r>
      <w:r w:rsidR="00F835D8">
        <w:rPr>
          <w:rFonts w:ascii="Arial" w:hAnsi="Arial" w:cs="Arial"/>
          <w:sz w:val="20"/>
        </w:rPr>
        <w:t>the implied yield on U.S. T</w:t>
      </w:r>
      <w:r>
        <w:rPr>
          <w:rFonts w:ascii="Arial" w:hAnsi="Arial" w:cs="Arial"/>
          <w:sz w:val="20"/>
        </w:rPr>
        <w:t>reasury</w:t>
      </w:r>
      <w:r w:rsidR="00F835D8">
        <w:rPr>
          <w:rFonts w:ascii="Arial" w:hAnsi="Arial" w:cs="Arial"/>
          <w:sz w:val="20"/>
        </w:rPr>
        <w:t xml:space="preserve"> zero-coupon issues with a remaining </w:t>
      </w:r>
      <w:r>
        <w:rPr>
          <w:rFonts w:ascii="Arial" w:hAnsi="Arial" w:cs="Arial"/>
          <w:sz w:val="20"/>
        </w:rPr>
        <w:t xml:space="preserve">term </w:t>
      </w:r>
      <w:r w:rsidR="00F835D8">
        <w:rPr>
          <w:rFonts w:ascii="Arial" w:hAnsi="Arial" w:cs="Arial"/>
          <w:sz w:val="20"/>
        </w:rPr>
        <w:t xml:space="preserve">equal to </w:t>
      </w:r>
      <w:r>
        <w:rPr>
          <w:rFonts w:ascii="Arial" w:hAnsi="Arial" w:cs="Arial"/>
          <w:sz w:val="20"/>
        </w:rPr>
        <w:t xml:space="preserve">the expected </w:t>
      </w:r>
      <w:r w:rsidR="00DA3940">
        <w:rPr>
          <w:rFonts w:ascii="Arial" w:hAnsi="Arial" w:cs="Arial"/>
          <w:sz w:val="20"/>
        </w:rPr>
        <w:t xml:space="preserve">term </w:t>
      </w:r>
      <w:r>
        <w:rPr>
          <w:rFonts w:ascii="Arial" w:hAnsi="Arial" w:cs="Arial"/>
          <w:sz w:val="20"/>
        </w:rPr>
        <w:t>of the award.</w:t>
      </w:r>
    </w:p>
    <w:p w14:paraId="4ECD9059" w14:textId="77777777" w:rsidR="00DF7DFD" w:rsidRDefault="00F62BB8" w:rsidP="004C4A29">
      <w:pPr>
        <w:numPr>
          <w:ilvl w:val="0"/>
          <w:numId w:val="30"/>
        </w:numPr>
        <w:spacing w:line="0" w:lineRule="atLeast"/>
        <w:jc w:val="both"/>
        <w:rPr>
          <w:rFonts w:ascii="Arial" w:hAnsi="Arial" w:cs="Arial"/>
          <w:sz w:val="20"/>
        </w:rPr>
      </w:pPr>
      <w:r>
        <w:rPr>
          <w:rFonts w:ascii="Arial" w:hAnsi="Arial" w:cs="Arial"/>
          <w:sz w:val="20"/>
        </w:rPr>
        <w:t>Dividend yield is zero because the Company neither currently pays dividends nor intends to do so during the expected term.</w:t>
      </w:r>
    </w:p>
    <w:p w14:paraId="44C52595" w14:textId="21EF88FB" w:rsidR="00AB0EAC" w:rsidRDefault="00AB0EAC" w:rsidP="004C4A29">
      <w:pPr>
        <w:numPr>
          <w:ilvl w:val="0"/>
          <w:numId w:val="30"/>
        </w:numPr>
        <w:spacing w:line="0" w:lineRule="atLeast"/>
        <w:jc w:val="both"/>
        <w:rPr>
          <w:rFonts w:ascii="Arial" w:hAnsi="Arial" w:cs="Arial"/>
          <w:sz w:val="20"/>
        </w:rPr>
      </w:pPr>
      <w:r>
        <w:rPr>
          <w:rFonts w:ascii="Arial" w:hAnsi="Arial" w:cs="Arial"/>
          <w:sz w:val="20"/>
        </w:rPr>
        <w:t xml:space="preserve">Stock price </w:t>
      </w:r>
      <w:r w:rsidR="00F835D8">
        <w:rPr>
          <w:rFonts w:ascii="Arial" w:hAnsi="Arial" w:cs="Arial"/>
          <w:sz w:val="20"/>
        </w:rPr>
        <w:t xml:space="preserve">used in the valuation model </w:t>
      </w:r>
      <w:r>
        <w:rPr>
          <w:rFonts w:ascii="Arial" w:hAnsi="Arial" w:cs="Arial"/>
          <w:sz w:val="20"/>
        </w:rPr>
        <w:t>is the closing price of the Company’s stock on the date of grant.</w:t>
      </w:r>
    </w:p>
    <w:p w14:paraId="72B0DD9A" w14:textId="12FE4907" w:rsidR="00F835D8" w:rsidRDefault="00F835D8" w:rsidP="004C4A29">
      <w:pPr>
        <w:numPr>
          <w:ilvl w:val="0"/>
          <w:numId w:val="30"/>
        </w:numPr>
        <w:spacing w:line="0" w:lineRule="atLeast"/>
        <w:jc w:val="both"/>
        <w:rPr>
          <w:rFonts w:ascii="Arial" w:hAnsi="Arial" w:cs="Arial"/>
          <w:sz w:val="20"/>
        </w:rPr>
      </w:pPr>
      <w:r>
        <w:rPr>
          <w:rFonts w:ascii="Arial" w:hAnsi="Arial" w:cs="Arial"/>
          <w:sz w:val="20"/>
        </w:rPr>
        <w:t>Exercise price is the stated price in the award agreement.</w:t>
      </w:r>
    </w:p>
    <w:p w14:paraId="32D8E266" w14:textId="309088B3" w:rsidR="00DC178B" w:rsidRPr="00DC178B" w:rsidRDefault="00DC178B" w:rsidP="00DC178B">
      <w:pPr>
        <w:numPr>
          <w:ilvl w:val="0"/>
          <w:numId w:val="3"/>
        </w:numPr>
        <w:spacing w:line="0" w:lineRule="atLeast"/>
        <w:ind w:left="1080"/>
        <w:jc w:val="both"/>
        <w:rPr>
          <w:rFonts w:ascii="Arial" w:hAnsi="Arial" w:cs="Arial"/>
          <w:sz w:val="20"/>
        </w:rPr>
      </w:pPr>
      <w:bookmarkStart w:id="84" w:name="_Hlk155177186"/>
      <w:r w:rsidRPr="00DC178B">
        <w:rPr>
          <w:rFonts w:ascii="Arial" w:hAnsi="Arial" w:cs="Arial"/>
          <w:sz w:val="20"/>
        </w:rPr>
        <w:t xml:space="preserve">ESPP - The ESPP has a look-back feature which permits the purchase of shares to be based on the lower of the fair market value of the Company’s Class A common stock on (1) the first day of the offering period or (2) the last day of the offering period. </w:t>
      </w:r>
      <w:r w:rsidRPr="005122FB">
        <w:rPr>
          <w:rFonts w:ascii="Arial" w:hAnsi="Arial" w:cs="Arial"/>
          <w:sz w:val="20"/>
        </w:rPr>
        <w:t>The ESPP also permits the employee to purchase as many shares as the full amount of their withholdings (variable share feature)</w:t>
      </w:r>
      <w:r w:rsidR="00D03853" w:rsidRPr="009D7A9F">
        <w:rPr>
          <w:rFonts w:ascii="Arial" w:hAnsi="Arial" w:cs="Arial"/>
          <w:sz w:val="20"/>
        </w:rPr>
        <w:t xml:space="preserve"> subject to certain purchase limitations</w:t>
      </w:r>
      <w:r w:rsidR="00A2723E">
        <w:rPr>
          <w:rStyle w:val="FootnoteReference"/>
          <w:rFonts w:ascii="Arial" w:hAnsi="Arial" w:cs="Arial"/>
          <w:sz w:val="20"/>
        </w:rPr>
        <w:footnoteReference w:id="2"/>
      </w:r>
      <w:r w:rsidRPr="005122FB">
        <w:rPr>
          <w:rFonts w:ascii="Arial" w:hAnsi="Arial" w:cs="Arial"/>
          <w:sz w:val="20"/>
        </w:rPr>
        <w:t>. As a result, the grant</w:t>
      </w:r>
      <w:r w:rsidRPr="00DC178B">
        <w:rPr>
          <w:rFonts w:ascii="Arial" w:hAnsi="Arial" w:cs="Arial"/>
          <w:sz w:val="20"/>
        </w:rPr>
        <w:t xml:space="preserve"> date fair value of the awards under the ESPP is the sum of three separate components in accordance with ASC 718-50-55-10 through 55-25 as follows:</w:t>
      </w:r>
    </w:p>
    <w:p w14:paraId="457226F1" w14:textId="77777777" w:rsidR="00DC178B" w:rsidRPr="00DC178B" w:rsidRDefault="00DC178B" w:rsidP="00DC178B">
      <w:pPr>
        <w:pStyle w:val="ListParagraph"/>
        <w:numPr>
          <w:ilvl w:val="1"/>
          <w:numId w:val="60"/>
        </w:numPr>
        <w:contextualSpacing/>
        <w:rPr>
          <w:rFonts w:ascii="Arial" w:hAnsi="Arial" w:cs="Arial"/>
          <w:sz w:val="20"/>
          <w:szCs w:val="20"/>
        </w:rPr>
      </w:pPr>
      <w:r w:rsidRPr="00DC178B">
        <w:rPr>
          <w:rFonts w:ascii="Arial" w:hAnsi="Arial" w:cs="Arial"/>
          <w:sz w:val="20"/>
          <w:szCs w:val="20"/>
        </w:rPr>
        <w:t>15% of a share of non-vested stock – Calculated as 15% of the grant date stock price.</w:t>
      </w:r>
    </w:p>
    <w:p w14:paraId="474CB4C1" w14:textId="5387B299" w:rsidR="00DC178B" w:rsidRPr="00DC178B" w:rsidRDefault="00DC178B" w:rsidP="00DC178B">
      <w:pPr>
        <w:pStyle w:val="ListParagraph"/>
        <w:numPr>
          <w:ilvl w:val="1"/>
          <w:numId w:val="60"/>
        </w:numPr>
        <w:contextualSpacing/>
        <w:rPr>
          <w:rFonts w:ascii="Arial" w:hAnsi="Arial" w:cs="Arial"/>
          <w:sz w:val="20"/>
          <w:szCs w:val="20"/>
        </w:rPr>
      </w:pPr>
      <w:r w:rsidRPr="00DC178B">
        <w:rPr>
          <w:rFonts w:ascii="Arial" w:hAnsi="Arial" w:cs="Arial"/>
          <w:sz w:val="20"/>
          <w:szCs w:val="20"/>
        </w:rPr>
        <w:t xml:space="preserve">85% of a </w:t>
      </w:r>
      <w:r w:rsidR="00296419">
        <w:rPr>
          <w:rFonts w:ascii="Arial" w:hAnsi="Arial" w:cs="Arial"/>
          <w:sz w:val="20"/>
          <w:szCs w:val="20"/>
        </w:rPr>
        <w:t>6</w:t>
      </w:r>
      <w:r w:rsidRPr="00DC178B">
        <w:rPr>
          <w:rFonts w:ascii="Arial" w:hAnsi="Arial" w:cs="Arial"/>
          <w:sz w:val="20"/>
          <w:szCs w:val="20"/>
        </w:rPr>
        <w:t>-month</w:t>
      </w:r>
      <w:r w:rsidR="005122FB">
        <w:rPr>
          <w:rStyle w:val="FootnoteReference"/>
          <w:rFonts w:ascii="Arial" w:hAnsi="Arial" w:cs="Arial"/>
          <w:sz w:val="20"/>
          <w:szCs w:val="20"/>
        </w:rPr>
        <w:footnoteReference w:id="3"/>
      </w:r>
      <w:r w:rsidRPr="00DC178B">
        <w:rPr>
          <w:rFonts w:ascii="Arial" w:hAnsi="Arial" w:cs="Arial"/>
          <w:sz w:val="20"/>
          <w:szCs w:val="20"/>
        </w:rPr>
        <w:t xml:space="preserve"> call option</w:t>
      </w:r>
      <w:r w:rsidR="005122FB">
        <w:rPr>
          <w:rFonts w:ascii="Arial" w:hAnsi="Arial" w:cs="Arial"/>
          <w:sz w:val="20"/>
          <w:szCs w:val="20"/>
        </w:rPr>
        <w:t xml:space="preserve"> </w:t>
      </w:r>
      <w:r w:rsidR="005122FB" w:rsidRPr="00DC178B">
        <w:rPr>
          <w:rFonts w:ascii="Arial" w:hAnsi="Arial" w:cs="Arial"/>
          <w:sz w:val="20"/>
          <w:szCs w:val="20"/>
        </w:rPr>
        <w:t xml:space="preserve">(as the ESPP has a </w:t>
      </w:r>
      <w:r w:rsidR="005122FB">
        <w:rPr>
          <w:rFonts w:ascii="Arial" w:hAnsi="Arial" w:cs="Arial"/>
          <w:sz w:val="20"/>
          <w:szCs w:val="20"/>
        </w:rPr>
        <w:t>6</w:t>
      </w:r>
      <w:r w:rsidR="005122FB" w:rsidRPr="00DC178B">
        <w:rPr>
          <w:rFonts w:ascii="Arial" w:hAnsi="Arial" w:cs="Arial"/>
          <w:sz w:val="20"/>
          <w:szCs w:val="20"/>
        </w:rPr>
        <w:t>-month Offering Period)</w:t>
      </w:r>
      <w:r w:rsidRPr="00DC178B">
        <w:rPr>
          <w:rFonts w:ascii="Arial" w:hAnsi="Arial" w:cs="Arial"/>
          <w:sz w:val="20"/>
          <w:szCs w:val="20"/>
        </w:rPr>
        <w:t xml:space="preserve">. The </w:t>
      </w:r>
      <w:r w:rsidR="0069033E" w:rsidRPr="00DC178B">
        <w:rPr>
          <w:rFonts w:ascii="Arial" w:hAnsi="Arial" w:cs="Arial"/>
          <w:sz w:val="20"/>
          <w:szCs w:val="20"/>
        </w:rPr>
        <w:t xml:space="preserve">Company </w:t>
      </w:r>
      <w:r w:rsidR="0069033E">
        <w:rPr>
          <w:rFonts w:ascii="Arial" w:hAnsi="Arial" w:cs="Arial"/>
          <w:sz w:val="20"/>
          <w:szCs w:val="20"/>
        </w:rPr>
        <w:t>uses</w:t>
      </w:r>
      <w:r w:rsidRPr="00DC178B">
        <w:rPr>
          <w:rFonts w:ascii="Arial" w:hAnsi="Arial" w:cs="Arial"/>
          <w:sz w:val="20"/>
          <w:szCs w:val="20"/>
        </w:rPr>
        <w:t xml:space="preserve"> a Black-Scholes </w:t>
      </w:r>
      <w:r w:rsidR="005F1F72">
        <w:rPr>
          <w:rFonts w:ascii="Arial" w:hAnsi="Arial" w:cs="Arial"/>
          <w:sz w:val="20"/>
          <w:szCs w:val="20"/>
        </w:rPr>
        <w:t xml:space="preserve">valuation </w:t>
      </w:r>
      <w:r w:rsidRPr="00DC178B">
        <w:rPr>
          <w:rFonts w:ascii="Arial" w:hAnsi="Arial" w:cs="Arial"/>
          <w:sz w:val="20"/>
          <w:szCs w:val="20"/>
        </w:rPr>
        <w:t>model to determine an award’s fair value. Key assumptions used in a valuation will include the following:</w:t>
      </w:r>
    </w:p>
    <w:p w14:paraId="64BF3BB5" w14:textId="77777777" w:rsidR="00DC178B" w:rsidRPr="00DC178B" w:rsidRDefault="00DC178B" w:rsidP="00DC178B">
      <w:pPr>
        <w:pStyle w:val="ListParagraph"/>
        <w:numPr>
          <w:ilvl w:val="2"/>
          <w:numId w:val="60"/>
        </w:numPr>
        <w:contextualSpacing/>
        <w:rPr>
          <w:rFonts w:ascii="Arial" w:hAnsi="Arial" w:cs="Arial"/>
          <w:sz w:val="20"/>
          <w:szCs w:val="20"/>
        </w:rPr>
      </w:pPr>
      <w:r w:rsidRPr="00DC178B">
        <w:rPr>
          <w:rFonts w:ascii="Arial" w:hAnsi="Arial" w:cs="Arial"/>
          <w:sz w:val="20"/>
          <w:szCs w:val="20"/>
        </w:rPr>
        <w:t>Exercise price – stock price on the date of grant</w:t>
      </w:r>
    </w:p>
    <w:p w14:paraId="176288AA" w14:textId="77777777" w:rsidR="00DC178B" w:rsidRPr="00DC178B" w:rsidRDefault="00DC178B" w:rsidP="00DC178B">
      <w:pPr>
        <w:pStyle w:val="ListParagraph"/>
        <w:numPr>
          <w:ilvl w:val="2"/>
          <w:numId w:val="60"/>
        </w:numPr>
        <w:contextualSpacing/>
        <w:rPr>
          <w:rFonts w:ascii="Arial" w:hAnsi="Arial" w:cs="Arial"/>
          <w:sz w:val="20"/>
          <w:szCs w:val="20"/>
        </w:rPr>
      </w:pPr>
      <w:r w:rsidRPr="00DC178B">
        <w:rPr>
          <w:rFonts w:ascii="Arial" w:hAnsi="Arial" w:cs="Arial"/>
          <w:sz w:val="20"/>
          <w:szCs w:val="20"/>
        </w:rPr>
        <w:t>Stock price – stock price on the date of grant</w:t>
      </w:r>
    </w:p>
    <w:p w14:paraId="3A21A98A" w14:textId="164AC001" w:rsidR="00DC178B" w:rsidRPr="00DC178B" w:rsidRDefault="00DC178B" w:rsidP="00DC178B">
      <w:pPr>
        <w:pStyle w:val="ListParagraph"/>
        <w:numPr>
          <w:ilvl w:val="2"/>
          <w:numId w:val="60"/>
        </w:numPr>
        <w:contextualSpacing/>
        <w:rPr>
          <w:rFonts w:ascii="Arial" w:hAnsi="Arial" w:cs="Arial"/>
          <w:sz w:val="20"/>
          <w:szCs w:val="20"/>
        </w:rPr>
      </w:pPr>
      <w:r w:rsidRPr="00DC178B">
        <w:rPr>
          <w:rFonts w:ascii="Arial" w:hAnsi="Arial" w:cs="Arial"/>
          <w:sz w:val="20"/>
          <w:szCs w:val="20"/>
        </w:rPr>
        <w:t xml:space="preserve">Expected term – the length of the Offering Period </w:t>
      </w:r>
    </w:p>
    <w:p w14:paraId="3871ED6C" w14:textId="5205BCE9" w:rsidR="00DC178B" w:rsidRPr="00DC178B" w:rsidRDefault="00DC178B" w:rsidP="00DC178B">
      <w:pPr>
        <w:pStyle w:val="ListParagraph"/>
        <w:numPr>
          <w:ilvl w:val="2"/>
          <w:numId w:val="60"/>
        </w:numPr>
        <w:contextualSpacing/>
        <w:rPr>
          <w:rFonts w:ascii="Arial" w:hAnsi="Arial" w:cs="Arial"/>
          <w:sz w:val="20"/>
          <w:szCs w:val="20"/>
        </w:rPr>
      </w:pPr>
      <w:r w:rsidRPr="00DC178B">
        <w:rPr>
          <w:rFonts w:ascii="Arial" w:hAnsi="Arial" w:cs="Arial"/>
          <w:sz w:val="20"/>
          <w:szCs w:val="20"/>
        </w:rPr>
        <w:t>Expected volatility –The Company us</w:t>
      </w:r>
      <w:r w:rsidR="00D03853">
        <w:rPr>
          <w:rFonts w:ascii="Arial" w:hAnsi="Arial" w:cs="Arial"/>
          <w:sz w:val="20"/>
          <w:szCs w:val="20"/>
        </w:rPr>
        <w:t>es</w:t>
      </w:r>
      <w:r w:rsidRPr="00DC178B">
        <w:rPr>
          <w:rFonts w:ascii="Arial" w:hAnsi="Arial" w:cs="Arial"/>
          <w:sz w:val="20"/>
          <w:szCs w:val="20"/>
        </w:rPr>
        <w:t xml:space="preserve"> its own historical experience.</w:t>
      </w:r>
    </w:p>
    <w:p w14:paraId="05AE1D5B" w14:textId="77777777" w:rsidR="00DC178B" w:rsidRPr="00DC178B" w:rsidRDefault="00DC178B" w:rsidP="00DC178B">
      <w:pPr>
        <w:pStyle w:val="ListParagraph"/>
        <w:numPr>
          <w:ilvl w:val="2"/>
          <w:numId w:val="60"/>
        </w:numPr>
        <w:contextualSpacing/>
        <w:rPr>
          <w:rFonts w:ascii="Arial" w:hAnsi="Arial" w:cs="Arial"/>
          <w:sz w:val="20"/>
          <w:szCs w:val="20"/>
        </w:rPr>
      </w:pPr>
      <w:r w:rsidRPr="00DC178B">
        <w:rPr>
          <w:rFonts w:ascii="Arial" w:hAnsi="Arial" w:cs="Arial"/>
          <w:sz w:val="20"/>
          <w:szCs w:val="20"/>
        </w:rPr>
        <w:t>Risk-free interest rate – the implied yield currently available on U.S. Treasury zero-coupon issues with a remaining term equal to the expected term.</w:t>
      </w:r>
    </w:p>
    <w:p w14:paraId="03A8ECBA" w14:textId="77777777" w:rsidR="00DC178B" w:rsidRPr="00DC178B" w:rsidRDefault="00DC178B" w:rsidP="00DC178B">
      <w:pPr>
        <w:pStyle w:val="ListParagraph"/>
        <w:numPr>
          <w:ilvl w:val="2"/>
          <w:numId w:val="60"/>
        </w:numPr>
        <w:contextualSpacing/>
        <w:rPr>
          <w:rFonts w:ascii="Arial" w:hAnsi="Arial" w:cs="Arial"/>
          <w:sz w:val="20"/>
          <w:szCs w:val="20"/>
        </w:rPr>
      </w:pPr>
      <w:r w:rsidRPr="00DC178B">
        <w:rPr>
          <w:rFonts w:ascii="Arial" w:hAnsi="Arial" w:cs="Arial"/>
          <w:sz w:val="20"/>
          <w:szCs w:val="20"/>
        </w:rPr>
        <w:t>Expected dividends – the dividend assumption will be zero as the Company does not intend to declare dividends.</w:t>
      </w:r>
    </w:p>
    <w:p w14:paraId="028E45AF" w14:textId="412D0EFC" w:rsidR="00DC178B" w:rsidRPr="00DC178B" w:rsidRDefault="00DC178B" w:rsidP="00DC178B">
      <w:pPr>
        <w:pStyle w:val="ListParagraph"/>
        <w:numPr>
          <w:ilvl w:val="1"/>
          <w:numId w:val="60"/>
        </w:numPr>
        <w:contextualSpacing/>
        <w:rPr>
          <w:rFonts w:ascii="Arial" w:hAnsi="Arial" w:cs="Arial"/>
          <w:sz w:val="20"/>
          <w:szCs w:val="20"/>
        </w:rPr>
      </w:pPr>
      <w:r w:rsidRPr="00DC178B">
        <w:rPr>
          <w:rFonts w:ascii="Arial" w:hAnsi="Arial" w:cs="Arial"/>
          <w:sz w:val="20"/>
          <w:szCs w:val="20"/>
        </w:rPr>
        <w:t xml:space="preserve">15% of a </w:t>
      </w:r>
      <w:r w:rsidR="00D03853">
        <w:rPr>
          <w:rFonts w:ascii="Arial" w:hAnsi="Arial" w:cs="Arial"/>
          <w:sz w:val="20"/>
          <w:szCs w:val="20"/>
        </w:rPr>
        <w:t>6</w:t>
      </w:r>
      <w:r w:rsidRPr="00DC178B">
        <w:rPr>
          <w:rFonts w:ascii="Arial" w:hAnsi="Arial" w:cs="Arial"/>
          <w:sz w:val="20"/>
          <w:szCs w:val="20"/>
        </w:rPr>
        <w:t xml:space="preserve">-month put option. This is to </w:t>
      </w:r>
      <w:proofErr w:type="gramStart"/>
      <w:r w:rsidRPr="00DC178B">
        <w:rPr>
          <w:rFonts w:ascii="Arial" w:hAnsi="Arial" w:cs="Arial"/>
          <w:sz w:val="20"/>
          <w:szCs w:val="20"/>
        </w:rPr>
        <w:t>value</w:t>
      </w:r>
      <w:proofErr w:type="gramEnd"/>
      <w:r w:rsidRPr="00DC178B">
        <w:rPr>
          <w:rFonts w:ascii="Arial" w:hAnsi="Arial" w:cs="Arial"/>
          <w:sz w:val="20"/>
          <w:szCs w:val="20"/>
        </w:rPr>
        <w:t xml:space="preserve"> the variable shares feature of the ESPP award and will be valued using the same assumptions used in the valuation of the call option discussed above.</w:t>
      </w:r>
    </w:p>
    <w:p w14:paraId="5AFACAD0" w14:textId="77777777" w:rsidR="00DF7DFD" w:rsidRDefault="00DF7DFD" w:rsidP="004C4A29">
      <w:pPr>
        <w:pStyle w:val="ListParagraph"/>
        <w:rPr>
          <w:rFonts w:ascii="Arial" w:hAnsi="Arial" w:cs="Arial"/>
          <w:sz w:val="20"/>
        </w:rPr>
      </w:pPr>
    </w:p>
    <w:p w14:paraId="3E9D58CE" w14:textId="6304F697" w:rsidR="00915D31" w:rsidRDefault="00DF5F17" w:rsidP="004C4A29">
      <w:pPr>
        <w:autoSpaceDE w:val="0"/>
        <w:autoSpaceDN w:val="0"/>
        <w:ind w:left="360"/>
        <w:rPr>
          <w:rFonts w:ascii="Arial" w:hAnsi="Arial" w:cs="Arial"/>
          <w:sz w:val="20"/>
        </w:rPr>
      </w:pPr>
      <w:r>
        <w:rPr>
          <w:rFonts w:ascii="Arial" w:hAnsi="Arial" w:cs="Arial"/>
          <w:sz w:val="20"/>
        </w:rPr>
        <w:t>C</w:t>
      </w:r>
      <w:r w:rsidR="00F62BB8">
        <w:rPr>
          <w:rFonts w:ascii="Arial" w:hAnsi="Arial" w:cs="Arial"/>
          <w:sz w:val="20"/>
        </w:rPr>
        <w:t>hange</w:t>
      </w:r>
      <w:r>
        <w:rPr>
          <w:rFonts w:ascii="Arial" w:hAnsi="Arial" w:cs="Arial"/>
          <w:sz w:val="20"/>
        </w:rPr>
        <w:t>s</w:t>
      </w:r>
      <w:r w:rsidR="00F62BB8">
        <w:rPr>
          <w:rFonts w:ascii="Arial" w:hAnsi="Arial" w:cs="Arial"/>
          <w:sz w:val="20"/>
        </w:rPr>
        <w:t xml:space="preserve"> in either or both a valuation approach and a valuation technique</w:t>
      </w:r>
      <w:r>
        <w:rPr>
          <w:rFonts w:ascii="Arial" w:hAnsi="Arial" w:cs="Arial"/>
          <w:sz w:val="20"/>
        </w:rPr>
        <w:t xml:space="preserve"> are considered changes in estimates and should be made on a prospective basis.</w:t>
      </w:r>
      <w:r w:rsidR="00F62BB8">
        <w:rPr>
          <w:rFonts w:ascii="Arial" w:hAnsi="Arial" w:cs="Arial"/>
          <w:sz w:val="20"/>
        </w:rPr>
        <w:t xml:space="preserve"> </w:t>
      </w:r>
      <w:r>
        <w:rPr>
          <w:rFonts w:ascii="Arial" w:hAnsi="Arial" w:cs="Arial"/>
          <w:sz w:val="20"/>
        </w:rPr>
        <w:t xml:space="preserve">If material, </w:t>
      </w:r>
      <w:r w:rsidR="00F62BB8">
        <w:rPr>
          <w:rFonts w:ascii="Arial" w:hAnsi="Arial" w:cs="Arial"/>
          <w:sz w:val="20"/>
        </w:rPr>
        <w:t>change</w:t>
      </w:r>
      <w:r>
        <w:rPr>
          <w:rFonts w:ascii="Arial" w:hAnsi="Arial" w:cs="Arial"/>
          <w:sz w:val="20"/>
        </w:rPr>
        <w:t>s</w:t>
      </w:r>
      <w:r w:rsidR="00F62BB8">
        <w:rPr>
          <w:rFonts w:ascii="Arial" w:hAnsi="Arial" w:cs="Arial"/>
          <w:sz w:val="20"/>
        </w:rPr>
        <w:t xml:space="preserve"> should be disclosed </w:t>
      </w:r>
      <w:r>
        <w:rPr>
          <w:rFonts w:ascii="Arial" w:hAnsi="Arial" w:cs="Arial"/>
          <w:sz w:val="20"/>
        </w:rPr>
        <w:t xml:space="preserve">in the financial statements </w:t>
      </w:r>
      <w:r w:rsidR="00F62BB8">
        <w:rPr>
          <w:rFonts w:ascii="Arial" w:hAnsi="Arial" w:cs="Arial"/>
          <w:sz w:val="20"/>
        </w:rPr>
        <w:t xml:space="preserve">and the </w:t>
      </w:r>
      <w:proofErr w:type="gramStart"/>
      <w:r w:rsidR="00F62BB8">
        <w:rPr>
          <w:rFonts w:ascii="Arial" w:hAnsi="Arial" w:cs="Arial"/>
          <w:sz w:val="20"/>
        </w:rPr>
        <w:t>reason</w:t>
      </w:r>
      <w:proofErr w:type="gramEnd"/>
      <w:r w:rsidR="00F62BB8">
        <w:rPr>
          <w:rFonts w:ascii="Arial" w:hAnsi="Arial" w:cs="Arial"/>
          <w:sz w:val="20"/>
        </w:rPr>
        <w:t>(s) for making it.</w:t>
      </w:r>
    </w:p>
    <w:bookmarkEnd w:id="84"/>
    <w:p w14:paraId="5074F6F7" w14:textId="77777777" w:rsidR="004C4A29" w:rsidRDefault="004C4A29" w:rsidP="004C4A29">
      <w:pPr>
        <w:autoSpaceDE w:val="0"/>
        <w:autoSpaceDN w:val="0"/>
        <w:ind w:left="360"/>
        <w:rPr>
          <w:rFonts w:ascii="Arial" w:hAnsi="Arial" w:cs="Arial"/>
          <w:sz w:val="20"/>
        </w:rPr>
      </w:pPr>
    </w:p>
    <w:p w14:paraId="576C5309" w14:textId="390FB1FA" w:rsidR="00915D31" w:rsidRDefault="00915D31" w:rsidP="004C4A29">
      <w:pPr>
        <w:autoSpaceDE w:val="0"/>
        <w:autoSpaceDN w:val="0"/>
        <w:ind w:left="360"/>
        <w:rPr>
          <w:rFonts w:ascii="Arial" w:hAnsi="Arial" w:cs="Arial"/>
          <w:sz w:val="20"/>
        </w:rPr>
      </w:pPr>
      <w:r>
        <w:rPr>
          <w:rFonts w:ascii="Arial" w:hAnsi="Arial" w:cs="Arial"/>
          <w:sz w:val="20"/>
        </w:rPr>
        <w:t xml:space="preserve">See </w:t>
      </w:r>
      <w:r w:rsidR="004C4A29">
        <w:rPr>
          <w:rFonts w:ascii="Arial" w:hAnsi="Arial" w:cs="Arial"/>
          <w:sz w:val="20"/>
        </w:rPr>
        <w:t xml:space="preserve">subsection on </w:t>
      </w:r>
      <w:r>
        <w:rPr>
          <w:rFonts w:ascii="Arial" w:hAnsi="Arial" w:cs="Arial"/>
          <w:sz w:val="20"/>
        </w:rPr>
        <w:t>“</w:t>
      </w:r>
      <w:r w:rsidR="00DC178B">
        <w:rPr>
          <w:rFonts w:ascii="Arial" w:hAnsi="Arial" w:cs="Arial"/>
          <w:sz w:val="20"/>
        </w:rPr>
        <w:t>Equity</w:t>
      </w:r>
      <w:r>
        <w:rPr>
          <w:rFonts w:ascii="Arial" w:hAnsi="Arial" w:cs="Arial"/>
          <w:sz w:val="20"/>
        </w:rPr>
        <w:t>-Based Compensation” for further guidance on the recognition of</w:t>
      </w:r>
      <w:r w:rsidR="005F1F72">
        <w:rPr>
          <w:rFonts w:ascii="Arial" w:hAnsi="Arial" w:cs="Arial"/>
          <w:sz w:val="20"/>
        </w:rPr>
        <w:t xml:space="preserve"> equity</w:t>
      </w:r>
      <w:r>
        <w:rPr>
          <w:rFonts w:ascii="Arial" w:hAnsi="Arial" w:cs="Arial"/>
          <w:sz w:val="20"/>
        </w:rPr>
        <w:t>-based compensation cost.</w:t>
      </w:r>
    </w:p>
    <w:p w14:paraId="52974169" w14:textId="5F7C8FFE" w:rsidR="00DF7DFD" w:rsidRDefault="00DF7DFD" w:rsidP="004C4A29">
      <w:pPr>
        <w:spacing w:line="0" w:lineRule="atLeast"/>
        <w:jc w:val="both"/>
        <w:rPr>
          <w:rFonts w:ascii="Arial" w:hAnsi="Arial" w:cs="Arial"/>
          <w:sz w:val="20"/>
        </w:rPr>
      </w:pPr>
    </w:p>
    <w:p w14:paraId="0FB547AB" w14:textId="2F4021A2" w:rsidR="00DF7DFD" w:rsidRDefault="00F62BB8" w:rsidP="00DC178B">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85" w:name="_Revenue"/>
      <w:bookmarkEnd w:id="85"/>
      <w:r>
        <w:rPr>
          <w:rFonts w:ascii="Century Gothic" w:hAnsi="Century Gothic" w:cs="Arial"/>
          <w:bCs w:val="0"/>
          <w:sz w:val="20"/>
        </w:rPr>
        <w:t>Revenue</w:t>
      </w:r>
      <w:bookmarkEnd w:id="80"/>
      <w:bookmarkEnd w:id="81"/>
    </w:p>
    <w:p w14:paraId="4A5702DE" w14:textId="21470681" w:rsidR="004352A4" w:rsidRDefault="004352A4" w:rsidP="00DC178B"/>
    <w:p w14:paraId="3CD13D75" w14:textId="2A97EE12" w:rsidR="004352A4" w:rsidRPr="002744D2" w:rsidRDefault="004352A4" w:rsidP="00DC178B">
      <w:pPr>
        <w:pStyle w:val="ListParagraph"/>
        <w:spacing w:line="0" w:lineRule="atLeast"/>
        <w:ind w:left="360"/>
        <w:contextualSpacing/>
        <w:jc w:val="both"/>
        <w:rPr>
          <w:rFonts w:ascii="Arial" w:hAnsi="Arial" w:cs="Arial"/>
          <w:i/>
          <w:sz w:val="20"/>
          <w:u w:val="single"/>
        </w:rPr>
      </w:pPr>
      <w:r w:rsidRPr="002744D2">
        <w:rPr>
          <w:rFonts w:ascii="Arial" w:hAnsi="Arial" w:cs="Arial"/>
          <w:i/>
          <w:sz w:val="20"/>
          <w:u w:val="single"/>
        </w:rPr>
        <w:t xml:space="preserve">Refer to </w:t>
      </w:r>
      <w:r w:rsidR="00A112F1" w:rsidRPr="002744D2">
        <w:rPr>
          <w:rFonts w:ascii="Arial" w:hAnsi="Arial" w:cs="Arial"/>
          <w:i/>
          <w:sz w:val="20"/>
          <w:u w:val="single"/>
        </w:rPr>
        <w:t xml:space="preserve">the </w:t>
      </w:r>
      <w:r w:rsidRPr="002744D2">
        <w:rPr>
          <w:rFonts w:ascii="Arial" w:hAnsi="Arial" w:cs="Arial"/>
          <w:i/>
          <w:sz w:val="20"/>
          <w:u w:val="single"/>
        </w:rPr>
        <w:t xml:space="preserve">separate </w:t>
      </w:r>
      <w:r w:rsidRPr="002744D2">
        <w:rPr>
          <w:rFonts w:ascii="Arial" w:hAnsi="Arial" w:cs="Arial"/>
          <w:b/>
          <w:i/>
          <w:sz w:val="20"/>
          <w:u w:val="single"/>
        </w:rPr>
        <w:t xml:space="preserve">Bioventus </w:t>
      </w:r>
      <w:r w:rsidR="00A112F1" w:rsidRPr="002744D2">
        <w:rPr>
          <w:rFonts w:ascii="Arial" w:hAnsi="Arial" w:cs="Arial"/>
          <w:b/>
          <w:i/>
          <w:sz w:val="20"/>
          <w:u w:val="single"/>
        </w:rPr>
        <w:t xml:space="preserve">Global </w:t>
      </w:r>
      <w:r w:rsidRPr="002744D2">
        <w:rPr>
          <w:rFonts w:ascii="Arial" w:hAnsi="Arial" w:cs="Arial"/>
          <w:b/>
          <w:i/>
          <w:sz w:val="20"/>
          <w:u w:val="single"/>
        </w:rPr>
        <w:t>Revenue Recognition Policy</w:t>
      </w:r>
      <w:r w:rsidRPr="002744D2">
        <w:rPr>
          <w:rFonts w:ascii="Arial" w:hAnsi="Arial" w:cs="Arial"/>
          <w:i/>
          <w:sz w:val="20"/>
          <w:u w:val="single"/>
        </w:rPr>
        <w:t xml:space="preserve"> on </w:t>
      </w:r>
      <w:proofErr w:type="spellStart"/>
      <w:r w:rsidRPr="002744D2">
        <w:rPr>
          <w:rFonts w:ascii="Arial" w:hAnsi="Arial" w:cs="Arial"/>
          <w:i/>
          <w:sz w:val="20"/>
          <w:u w:val="single"/>
        </w:rPr>
        <w:t>Bionet</w:t>
      </w:r>
      <w:proofErr w:type="spellEnd"/>
    </w:p>
    <w:p w14:paraId="388B1B87" w14:textId="77777777" w:rsidR="00DF7DFD" w:rsidRDefault="00DF7DFD" w:rsidP="00DC178B">
      <w:pPr>
        <w:spacing w:line="0" w:lineRule="atLeast"/>
        <w:ind w:left="360"/>
        <w:jc w:val="both"/>
        <w:rPr>
          <w:rFonts w:ascii="Arial" w:hAnsi="Arial" w:cs="Arial"/>
          <w:b/>
          <w:sz w:val="20"/>
        </w:rPr>
      </w:pPr>
    </w:p>
    <w:p w14:paraId="6BC32282"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86" w:name="_Cost_of_Sales"/>
      <w:bookmarkEnd w:id="86"/>
      <w:r>
        <w:rPr>
          <w:rFonts w:ascii="Century Gothic" w:hAnsi="Century Gothic" w:cs="Arial"/>
          <w:bCs w:val="0"/>
          <w:sz w:val="20"/>
        </w:rPr>
        <w:t>Cost of Sales</w:t>
      </w:r>
    </w:p>
    <w:p w14:paraId="380FBC7B" w14:textId="77777777" w:rsidR="00DF7DFD" w:rsidRDefault="00DF7DFD" w:rsidP="00B5048D">
      <w:pPr>
        <w:rPr>
          <w:rFonts w:ascii="Arial" w:hAnsi="Arial" w:cs="Arial"/>
        </w:rPr>
      </w:pPr>
    </w:p>
    <w:p w14:paraId="4EBE79D9"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22.1 General</w:t>
      </w:r>
    </w:p>
    <w:p w14:paraId="7C555863"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Cost of sales (COS) comprises cost of products sold to third parties and cost of products sold to intracompany entities.  COS for products sold directly to healthcare institutions, patients, distributors and dealers as well as indirectly through insurance companies is recognized when the corresponding sales revenue is recognized, generally when title and risk of loss of the product passes to the purchaser.  Certain inventory available for sale to healthcare institutions is shipped to sales agents so that products are available when needed for procedures. COS is not recognized since inventory is not relieved at this point.</w:t>
      </w:r>
    </w:p>
    <w:p w14:paraId="60414A1B" w14:textId="3D069665" w:rsidR="00DF7DFD" w:rsidRDefault="00F62BB8" w:rsidP="00516525">
      <w:pPr>
        <w:spacing w:before="240" w:line="0" w:lineRule="atLeast"/>
        <w:ind w:left="360"/>
        <w:jc w:val="both"/>
        <w:rPr>
          <w:rFonts w:ascii="Century Gothic" w:hAnsi="Century Gothic" w:cs="Arial"/>
          <w:b/>
          <w:sz w:val="20"/>
        </w:rPr>
      </w:pPr>
      <w:r>
        <w:rPr>
          <w:rFonts w:ascii="Century Gothic" w:hAnsi="Century Gothic" w:cs="Arial"/>
          <w:b/>
          <w:sz w:val="20"/>
        </w:rPr>
        <w:t xml:space="preserve">22.2 </w:t>
      </w:r>
      <w:bookmarkStart w:id="87" w:name="OtherCOS"/>
      <w:r>
        <w:rPr>
          <w:rFonts w:ascii="Century Gothic" w:hAnsi="Century Gothic" w:cs="Arial"/>
          <w:b/>
          <w:sz w:val="20"/>
        </w:rPr>
        <w:t>Other Cost of Sales</w:t>
      </w:r>
    </w:p>
    <w:bookmarkEnd w:id="87"/>
    <w:p w14:paraId="43C4DAAE"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Actual costs will always differ, resulting in inventory variances (favorable or unfavorable). At each reporting date, variances between standard and actual costs should be produced by the standard costing system and investigated appropriately.  Standard costing variances capitalized to inventory should be amortized in accordance with inventory turn.  The reduction or increase in inventory is offset in other COS.  Manufacturing costs should be spread </w:t>
      </w:r>
      <w:proofErr w:type="gramStart"/>
      <w:r>
        <w:rPr>
          <w:rFonts w:ascii="Arial" w:hAnsi="Arial" w:cs="Arial"/>
          <w:sz w:val="20"/>
        </w:rPr>
        <w:t>across</w:t>
      </w:r>
      <w:proofErr w:type="gramEnd"/>
      <w:r>
        <w:rPr>
          <w:rFonts w:ascii="Arial" w:hAnsi="Arial" w:cs="Arial"/>
          <w:sz w:val="20"/>
        </w:rPr>
        <w:t xml:space="preserve"> the accounting year for such items as:</w:t>
      </w:r>
    </w:p>
    <w:p w14:paraId="72061C20" w14:textId="77777777" w:rsidR="00DF7DFD" w:rsidRDefault="00F62BB8" w:rsidP="00B5048D">
      <w:pPr>
        <w:pStyle w:val="ListParagraph"/>
        <w:numPr>
          <w:ilvl w:val="0"/>
          <w:numId w:val="4"/>
        </w:numPr>
        <w:spacing w:line="0" w:lineRule="atLeast"/>
        <w:ind w:left="1080"/>
        <w:contextualSpacing/>
        <w:jc w:val="both"/>
        <w:rPr>
          <w:rFonts w:ascii="Arial" w:hAnsi="Arial" w:cs="Arial"/>
          <w:sz w:val="20"/>
        </w:rPr>
      </w:pPr>
      <w:r>
        <w:rPr>
          <w:rFonts w:ascii="Arial" w:hAnsi="Arial" w:cs="Arial"/>
          <w:sz w:val="20"/>
        </w:rPr>
        <w:t>holiday pay, where applicable</w:t>
      </w:r>
    </w:p>
    <w:p w14:paraId="6F71EC70" w14:textId="77777777" w:rsidR="00DF7DFD" w:rsidRDefault="00F62BB8" w:rsidP="00B5048D">
      <w:pPr>
        <w:pStyle w:val="ListParagraph"/>
        <w:numPr>
          <w:ilvl w:val="0"/>
          <w:numId w:val="4"/>
        </w:numPr>
        <w:spacing w:line="0" w:lineRule="atLeast"/>
        <w:ind w:left="1080"/>
        <w:contextualSpacing/>
        <w:jc w:val="both"/>
        <w:rPr>
          <w:rFonts w:ascii="Arial" w:hAnsi="Arial" w:cs="Arial"/>
          <w:sz w:val="20"/>
        </w:rPr>
      </w:pPr>
      <w:r>
        <w:rPr>
          <w:rFonts w:ascii="Arial" w:hAnsi="Arial" w:cs="Arial"/>
          <w:sz w:val="20"/>
        </w:rPr>
        <w:t>plant shut down and associated maintenance</w:t>
      </w:r>
    </w:p>
    <w:p w14:paraId="0088656D" w14:textId="77777777" w:rsidR="00DF7DFD" w:rsidRDefault="00F62BB8" w:rsidP="00B5048D">
      <w:pPr>
        <w:pStyle w:val="ListParagraph"/>
        <w:numPr>
          <w:ilvl w:val="0"/>
          <w:numId w:val="4"/>
        </w:numPr>
        <w:spacing w:line="0" w:lineRule="atLeast"/>
        <w:ind w:left="1080"/>
        <w:contextualSpacing/>
        <w:jc w:val="both"/>
        <w:rPr>
          <w:rFonts w:ascii="Arial" w:hAnsi="Arial" w:cs="Arial"/>
          <w:sz w:val="20"/>
        </w:rPr>
      </w:pPr>
      <w:r>
        <w:rPr>
          <w:rFonts w:ascii="Arial" w:hAnsi="Arial" w:cs="Arial"/>
          <w:sz w:val="20"/>
        </w:rPr>
        <w:t>overhead attributed to varying levels of inventory</w:t>
      </w:r>
    </w:p>
    <w:p w14:paraId="0BA7A6E5" w14:textId="77777777" w:rsidR="00DF7DFD" w:rsidRDefault="00F62BB8" w:rsidP="00B5048D">
      <w:pPr>
        <w:pStyle w:val="ListParagraph"/>
        <w:numPr>
          <w:ilvl w:val="0"/>
          <w:numId w:val="4"/>
        </w:numPr>
        <w:spacing w:line="0" w:lineRule="atLeast"/>
        <w:ind w:left="1080"/>
        <w:contextualSpacing/>
        <w:jc w:val="both"/>
        <w:rPr>
          <w:rFonts w:ascii="Arial" w:hAnsi="Arial" w:cs="Arial"/>
          <w:sz w:val="20"/>
        </w:rPr>
      </w:pPr>
      <w:r>
        <w:rPr>
          <w:rFonts w:ascii="Arial" w:hAnsi="Arial" w:cs="Arial"/>
          <w:sz w:val="20"/>
        </w:rPr>
        <w:t>defined benefit pension and other benefits costs</w:t>
      </w:r>
    </w:p>
    <w:p w14:paraId="39BA5DAF" w14:textId="77777777" w:rsidR="00DF7DFD" w:rsidRDefault="00DF7DFD" w:rsidP="00B5048D">
      <w:pPr>
        <w:spacing w:line="0" w:lineRule="atLeast"/>
        <w:ind w:left="720"/>
        <w:jc w:val="both"/>
        <w:rPr>
          <w:rFonts w:ascii="Arial" w:hAnsi="Arial" w:cs="Arial"/>
          <w:sz w:val="20"/>
        </w:rPr>
      </w:pPr>
    </w:p>
    <w:p w14:paraId="3DA8D449"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 xml:space="preserve">22.3 </w:t>
      </w:r>
      <w:bookmarkStart w:id="88" w:name="RoyaltyEXP"/>
      <w:r>
        <w:rPr>
          <w:rFonts w:ascii="Century Gothic" w:hAnsi="Century Gothic" w:cs="Arial"/>
          <w:b/>
          <w:sz w:val="20"/>
        </w:rPr>
        <w:t>Royalty Expense</w:t>
      </w:r>
      <w:bookmarkEnd w:id="88"/>
    </w:p>
    <w:p w14:paraId="10E4BE41"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Royalty expense results from being granted the right to use another entity’s assets such as licensing intellectual property. The expense should be recognized as a COS in accordance with the terms of the relevant agreement, unless having reviewed the agreement it is more appropriate to recognize cost of sales on some other systematic basis. Any upfront payment should be recognized over the course of the agreement.</w:t>
      </w:r>
    </w:p>
    <w:p w14:paraId="32636CE6" w14:textId="78A4B94D" w:rsidR="00DF7DFD" w:rsidRDefault="00F62BB8" w:rsidP="00B5048D">
      <w:pPr>
        <w:pStyle w:val="ListParagraph"/>
        <w:numPr>
          <w:ilvl w:val="0"/>
          <w:numId w:val="4"/>
        </w:numPr>
        <w:spacing w:line="0" w:lineRule="atLeast"/>
        <w:ind w:left="1080"/>
        <w:contextualSpacing/>
        <w:jc w:val="both"/>
        <w:rPr>
          <w:rFonts w:ascii="Arial" w:hAnsi="Arial" w:cs="Arial"/>
          <w:sz w:val="20"/>
        </w:rPr>
      </w:pPr>
      <w:r>
        <w:rPr>
          <w:rFonts w:ascii="Arial" w:hAnsi="Arial" w:cs="Arial"/>
          <w:sz w:val="20"/>
        </w:rPr>
        <w:t xml:space="preserve">Subsidiaries that sell </w:t>
      </w:r>
      <w:proofErr w:type="gramStart"/>
      <w:r>
        <w:rPr>
          <w:rFonts w:ascii="Arial" w:hAnsi="Arial" w:cs="Arial"/>
          <w:sz w:val="20"/>
        </w:rPr>
        <w:t>product</w:t>
      </w:r>
      <w:proofErr w:type="gramEnd"/>
      <w:r>
        <w:rPr>
          <w:rFonts w:ascii="Arial" w:hAnsi="Arial" w:cs="Arial"/>
          <w:sz w:val="20"/>
        </w:rPr>
        <w:t xml:space="preserve"> for which they do not own the intellectual property are required to pay the owning subsidiary </w:t>
      </w:r>
      <w:proofErr w:type="gramStart"/>
      <w:r>
        <w:rPr>
          <w:rFonts w:ascii="Arial" w:hAnsi="Arial" w:cs="Arial"/>
          <w:sz w:val="20"/>
        </w:rPr>
        <w:t>a brand</w:t>
      </w:r>
      <w:proofErr w:type="gramEnd"/>
      <w:r>
        <w:rPr>
          <w:rFonts w:ascii="Arial" w:hAnsi="Arial" w:cs="Arial"/>
          <w:sz w:val="20"/>
        </w:rPr>
        <w:t xml:space="preserve"> royalty of a specified percentage of </w:t>
      </w:r>
      <w:r w:rsidR="001364AD">
        <w:rPr>
          <w:rFonts w:ascii="Arial" w:hAnsi="Arial" w:cs="Arial"/>
          <w:sz w:val="20"/>
        </w:rPr>
        <w:t>third-party</w:t>
      </w:r>
      <w:r>
        <w:rPr>
          <w:rFonts w:ascii="Arial" w:hAnsi="Arial" w:cs="Arial"/>
          <w:sz w:val="20"/>
        </w:rPr>
        <w:t xml:space="preserve"> sales.</w:t>
      </w:r>
    </w:p>
    <w:p w14:paraId="2B55909E" w14:textId="1F7BCD2C" w:rsidR="00DF7DFD" w:rsidRDefault="00F62BB8" w:rsidP="00B5048D">
      <w:pPr>
        <w:pStyle w:val="ListParagraph"/>
        <w:numPr>
          <w:ilvl w:val="0"/>
          <w:numId w:val="4"/>
        </w:numPr>
        <w:spacing w:line="0" w:lineRule="atLeast"/>
        <w:ind w:left="1080"/>
        <w:contextualSpacing/>
        <w:jc w:val="both"/>
        <w:rPr>
          <w:rFonts w:ascii="Arial" w:hAnsi="Arial" w:cs="Arial"/>
          <w:sz w:val="20"/>
        </w:rPr>
      </w:pPr>
      <w:r>
        <w:rPr>
          <w:rFonts w:ascii="Arial" w:hAnsi="Arial" w:cs="Arial"/>
          <w:sz w:val="20"/>
        </w:rPr>
        <w:t>Brand royalties are payable quarterly in arrears on the Company netting settlement day following the end of each calendar quarter.  Brand royalties are assessed and payable in the local currency of the manufacturer.</w:t>
      </w:r>
    </w:p>
    <w:p w14:paraId="0C99C7CE" w14:textId="77777777" w:rsidR="00DF7DFD" w:rsidRDefault="00DF7DFD" w:rsidP="00B5048D">
      <w:pPr>
        <w:spacing w:line="0" w:lineRule="atLeast"/>
        <w:ind w:left="990"/>
        <w:jc w:val="both"/>
        <w:rPr>
          <w:rFonts w:ascii="Century Gothic" w:hAnsi="Century Gothic" w:cs="Arial"/>
          <w:bCs/>
          <w:sz w:val="20"/>
        </w:rPr>
      </w:pPr>
    </w:p>
    <w:p w14:paraId="0292EB7A"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89" w:name="_Selling,_General_and"/>
      <w:bookmarkEnd w:id="89"/>
      <w:r>
        <w:rPr>
          <w:rFonts w:ascii="Century Gothic" w:hAnsi="Century Gothic" w:cs="Arial"/>
          <w:bCs w:val="0"/>
          <w:sz w:val="20"/>
        </w:rPr>
        <w:t>Selling, General and Administrative Expenses</w:t>
      </w:r>
    </w:p>
    <w:p w14:paraId="59605F4A" w14:textId="77777777" w:rsidR="00DF7DFD" w:rsidRDefault="00DF7DFD" w:rsidP="00B5048D">
      <w:pPr>
        <w:pStyle w:val="ListParagraph"/>
        <w:spacing w:line="0" w:lineRule="atLeast"/>
        <w:ind w:left="360"/>
        <w:contextualSpacing/>
        <w:jc w:val="both"/>
        <w:rPr>
          <w:rFonts w:ascii="Century Gothic" w:hAnsi="Century Gothic" w:cs="Arial"/>
          <w:b/>
          <w:sz w:val="20"/>
        </w:rPr>
      </w:pPr>
    </w:p>
    <w:p w14:paraId="61348E06"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23.1 General</w:t>
      </w:r>
    </w:p>
    <w:p w14:paraId="38395B7D"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Monthly expenses should be accounted for/accrued by month as follows:</w:t>
      </w:r>
    </w:p>
    <w:p w14:paraId="0B77A60D" w14:textId="77777777" w:rsidR="00DF7DFD" w:rsidRDefault="00F62BB8" w:rsidP="00B5048D">
      <w:pPr>
        <w:numPr>
          <w:ilvl w:val="0"/>
          <w:numId w:val="18"/>
        </w:numPr>
        <w:spacing w:line="0" w:lineRule="atLeast"/>
        <w:jc w:val="both"/>
        <w:rPr>
          <w:rFonts w:ascii="Arial" w:hAnsi="Arial" w:cs="Arial"/>
          <w:sz w:val="20"/>
        </w:rPr>
      </w:pPr>
      <w:r>
        <w:rPr>
          <w:rFonts w:ascii="Arial" w:hAnsi="Arial" w:cs="Arial"/>
          <w:sz w:val="20"/>
        </w:rPr>
        <w:t>Sales-based expenses in relation to sales.</w:t>
      </w:r>
    </w:p>
    <w:p w14:paraId="0829F9D2" w14:textId="77777777" w:rsidR="00DF7DFD" w:rsidRDefault="00F62BB8" w:rsidP="00B5048D">
      <w:pPr>
        <w:numPr>
          <w:ilvl w:val="0"/>
          <w:numId w:val="18"/>
        </w:numPr>
        <w:spacing w:line="0" w:lineRule="atLeast"/>
        <w:jc w:val="both"/>
        <w:rPr>
          <w:rFonts w:ascii="Arial" w:hAnsi="Arial" w:cs="Arial"/>
          <w:sz w:val="20"/>
        </w:rPr>
      </w:pPr>
      <w:r>
        <w:rPr>
          <w:rFonts w:ascii="Arial" w:hAnsi="Arial" w:cs="Arial"/>
          <w:sz w:val="20"/>
        </w:rPr>
        <w:t xml:space="preserve">Time-related expenses </w:t>
      </w:r>
      <w:proofErr w:type="gramStart"/>
      <w:r>
        <w:rPr>
          <w:rFonts w:ascii="Arial" w:hAnsi="Arial" w:cs="Arial"/>
          <w:sz w:val="20"/>
        </w:rPr>
        <w:t>relative</w:t>
      </w:r>
      <w:proofErr w:type="gramEnd"/>
      <w:r>
        <w:rPr>
          <w:rFonts w:ascii="Arial" w:hAnsi="Arial" w:cs="Arial"/>
          <w:sz w:val="20"/>
        </w:rPr>
        <w:t xml:space="preserve"> to the number of weeks in a period.</w:t>
      </w:r>
    </w:p>
    <w:p w14:paraId="4D61B080" w14:textId="77777777" w:rsidR="00DF7DFD" w:rsidRDefault="00F62BB8" w:rsidP="00B5048D">
      <w:pPr>
        <w:numPr>
          <w:ilvl w:val="0"/>
          <w:numId w:val="18"/>
        </w:numPr>
        <w:spacing w:line="0" w:lineRule="atLeast"/>
        <w:jc w:val="both"/>
        <w:rPr>
          <w:rFonts w:ascii="Arial" w:hAnsi="Arial" w:cs="Arial"/>
          <w:sz w:val="20"/>
        </w:rPr>
      </w:pPr>
      <w:r>
        <w:rPr>
          <w:rFonts w:ascii="Arial" w:hAnsi="Arial" w:cs="Arial"/>
          <w:sz w:val="20"/>
        </w:rPr>
        <w:t xml:space="preserve">Annual expenses spread over the year (e.g. insurances) should be </w:t>
      </w:r>
      <w:proofErr w:type="gramStart"/>
      <w:r>
        <w:rPr>
          <w:rFonts w:ascii="Arial" w:hAnsi="Arial" w:cs="Arial"/>
          <w:sz w:val="20"/>
        </w:rPr>
        <w:t>time-apportioned</w:t>
      </w:r>
      <w:proofErr w:type="gramEnd"/>
      <w:r>
        <w:rPr>
          <w:rFonts w:ascii="Arial" w:hAnsi="Arial" w:cs="Arial"/>
          <w:sz w:val="20"/>
        </w:rPr>
        <w:t xml:space="preserve">.  </w:t>
      </w:r>
    </w:p>
    <w:p w14:paraId="37BCF5B8" w14:textId="77777777" w:rsidR="00DF7DFD" w:rsidRDefault="00F62BB8" w:rsidP="00B5048D">
      <w:pPr>
        <w:numPr>
          <w:ilvl w:val="0"/>
          <w:numId w:val="18"/>
        </w:numPr>
        <w:spacing w:line="0" w:lineRule="atLeast"/>
        <w:jc w:val="both"/>
        <w:rPr>
          <w:rFonts w:ascii="Arial" w:hAnsi="Arial" w:cs="Arial"/>
          <w:sz w:val="20"/>
        </w:rPr>
      </w:pPr>
      <w:r>
        <w:rPr>
          <w:rFonts w:ascii="Arial" w:hAnsi="Arial" w:cs="Arial"/>
          <w:sz w:val="20"/>
        </w:rPr>
        <w:t>One-off costs or income should be charged or credited in the period as incurred.</w:t>
      </w:r>
    </w:p>
    <w:p w14:paraId="672B57CD" w14:textId="77777777" w:rsidR="00DF7DFD" w:rsidRDefault="00F62BB8" w:rsidP="00B5048D">
      <w:pPr>
        <w:numPr>
          <w:ilvl w:val="0"/>
          <w:numId w:val="18"/>
        </w:numPr>
        <w:spacing w:line="0" w:lineRule="atLeast"/>
        <w:jc w:val="both"/>
        <w:rPr>
          <w:rFonts w:ascii="Arial" w:hAnsi="Arial" w:cs="Arial"/>
          <w:sz w:val="20"/>
        </w:rPr>
      </w:pPr>
      <w:r>
        <w:rPr>
          <w:rFonts w:ascii="Arial" w:hAnsi="Arial" w:cs="Arial"/>
          <w:sz w:val="20"/>
        </w:rPr>
        <w:t>Costs of industry exhibitions, sales conferences, etc., should be expensed in the period incurred.</w:t>
      </w:r>
    </w:p>
    <w:p w14:paraId="04D44A03" w14:textId="77777777" w:rsidR="00DF7DFD" w:rsidRDefault="00DF7DFD" w:rsidP="00B5048D">
      <w:pPr>
        <w:spacing w:line="0" w:lineRule="atLeast"/>
        <w:ind w:firstLine="2160"/>
        <w:jc w:val="both"/>
        <w:rPr>
          <w:rFonts w:ascii="Arial" w:hAnsi="Arial" w:cs="Arial"/>
          <w:sz w:val="20"/>
        </w:rPr>
      </w:pPr>
    </w:p>
    <w:p w14:paraId="5F281633"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 xml:space="preserve">23.2 </w:t>
      </w:r>
      <w:bookmarkStart w:id="90" w:name="Comp"/>
      <w:r>
        <w:rPr>
          <w:rFonts w:ascii="Century Gothic" w:hAnsi="Century Gothic" w:cs="Arial"/>
          <w:b/>
          <w:sz w:val="20"/>
        </w:rPr>
        <w:t>Compensation</w:t>
      </w:r>
      <w:bookmarkEnd w:id="90"/>
    </w:p>
    <w:p w14:paraId="1FE89CD0"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Salaries/Wages, vacation and related payroll tax expenses are time-related expenses and are recognized relative to the number of weeks in a reporting period. Overtime wages are recognized in the period earned.  Certain countries have additional pay periods at times during the year in addition to the typical monthly expense.  These estimated payments and related expenses should be accrued for </w:t>
      </w:r>
      <w:proofErr w:type="gramStart"/>
      <w:r>
        <w:rPr>
          <w:rFonts w:ascii="Arial" w:hAnsi="Arial" w:cs="Arial"/>
          <w:sz w:val="20"/>
        </w:rPr>
        <w:t>evenly</w:t>
      </w:r>
      <w:proofErr w:type="gramEnd"/>
      <w:r>
        <w:rPr>
          <w:rFonts w:ascii="Arial" w:hAnsi="Arial" w:cs="Arial"/>
          <w:sz w:val="20"/>
        </w:rPr>
        <w:t xml:space="preserve"> over the year.</w:t>
      </w:r>
    </w:p>
    <w:p w14:paraId="39D49BD3" w14:textId="77777777" w:rsidR="00DF7DFD" w:rsidRDefault="00DF7DFD" w:rsidP="00B5048D">
      <w:pPr>
        <w:pStyle w:val="ListParagraph"/>
        <w:spacing w:line="0" w:lineRule="atLeast"/>
        <w:ind w:left="360"/>
        <w:contextualSpacing/>
        <w:jc w:val="both"/>
        <w:rPr>
          <w:rFonts w:ascii="Arial" w:hAnsi="Arial" w:cs="Arial"/>
          <w:sz w:val="20"/>
        </w:rPr>
      </w:pPr>
    </w:p>
    <w:p w14:paraId="2C6AB356" w14:textId="77277030"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Vacation that has been earned but unpaid (not taken) should be accrued for and recognized as an expense in the period earned.  At year end the accrual should be at its lowest as the policy does not allow for carryover.  There are some states and countries that do not allow this policy to be enforced, and accordingly, the Company does allow carryover in th</w:t>
      </w:r>
      <w:r w:rsidR="0041720E">
        <w:rPr>
          <w:rFonts w:ascii="Arial" w:hAnsi="Arial" w:cs="Arial"/>
          <w:sz w:val="20"/>
        </w:rPr>
        <w:t>o</w:t>
      </w:r>
      <w:r>
        <w:rPr>
          <w:rFonts w:ascii="Arial" w:hAnsi="Arial" w:cs="Arial"/>
          <w:sz w:val="20"/>
        </w:rPr>
        <w:t>se jurisdictions.</w:t>
      </w:r>
    </w:p>
    <w:p w14:paraId="146EC13D" w14:textId="77777777" w:rsidR="00DF7DFD" w:rsidRDefault="00DF7DFD" w:rsidP="00B5048D">
      <w:pPr>
        <w:pStyle w:val="ListParagraph"/>
        <w:spacing w:line="0" w:lineRule="atLeast"/>
        <w:ind w:left="360"/>
        <w:contextualSpacing/>
        <w:jc w:val="both"/>
        <w:rPr>
          <w:rFonts w:ascii="Arial" w:hAnsi="Arial" w:cs="Arial"/>
          <w:sz w:val="20"/>
        </w:rPr>
      </w:pPr>
    </w:p>
    <w:p w14:paraId="77F7F036"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Commission expenses are sales-based expenses and are recognized in relation to sales in a reporting period.</w:t>
      </w:r>
    </w:p>
    <w:p w14:paraId="7DC74A83" w14:textId="77777777" w:rsidR="00DF7DFD" w:rsidRDefault="00DF7DFD" w:rsidP="00B5048D">
      <w:pPr>
        <w:pStyle w:val="ListParagraph"/>
        <w:spacing w:line="0" w:lineRule="atLeast"/>
        <w:ind w:left="1020"/>
        <w:contextualSpacing/>
        <w:jc w:val="both"/>
        <w:rPr>
          <w:rFonts w:ascii="Arial" w:hAnsi="Arial" w:cs="Arial"/>
          <w:sz w:val="20"/>
        </w:rPr>
      </w:pPr>
    </w:p>
    <w:p w14:paraId="61829061" w14:textId="752D2A0A" w:rsidR="00DF7DFD" w:rsidRDefault="00F62BB8" w:rsidP="00B5048D">
      <w:pPr>
        <w:pStyle w:val="ListParagraph"/>
        <w:spacing w:line="0" w:lineRule="atLeast"/>
        <w:ind w:left="360"/>
        <w:contextualSpacing/>
        <w:jc w:val="both"/>
        <w:rPr>
          <w:rFonts w:ascii="Arial" w:hAnsi="Arial" w:cs="Arial"/>
          <w:sz w:val="20"/>
        </w:rPr>
      </w:pPr>
      <w:r w:rsidRPr="00AB2EBD">
        <w:rPr>
          <w:rFonts w:ascii="Arial" w:hAnsi="Arial" w:cs="Arial"/>
          <w:sz w:val="20"/>
        </w:rPr>
        <w:t>Severance expense is recognized at the date the plan of termination meets certain criteria (contact the D</w:t>
      </w:r>
      <w:r w:rsidR="00597407" w:rsidRPr="00AB2EBD">
        <w:rPr>
          <w:rFonts w:ascii="Arial" w:hAnsi="Arial" w:cs="Arial"/>
          <w:sz w:val="20"/>
        </w:rPr>
        <w:t>ir, TA</w:t>
      </w:r>
      <w:r w:rsidRPr="00AB2EBD">
        <w:rPr>
          <w:rFonts w:ascii="Arial" w:hAnsi="Arial" w:cs="Arial"/>
          <w:sz w:val="20"/>
        </w:rPr>
        <w:t xml:space="preserve"> for details</w:t>
      </w:r>
      <w:r>
        <w:rPr>
          <w:rFonts w:ascii="Arial" w:hAnsi="Arial" w:cs="Arial"/>
          <w:sz w:val="20"/>
        </w:rPr>
        <w:t xml:space="preserve">) and has been communicated to employees (the communication date).  The timing and amount of liability recognition is dependent on whether employees are required to render future service </w:t>
      </w:r>
      <w:proofErr w:type="gramStart"/>
      <w:r>
        <w:rPr>
          <w:rFonts w:ascii="Arial" w:hAnsi="Arial" w:cs="Arial"/>
          <w:sz w:val="20"/>
        </w:rPr>
        <w:t>in order to</w:t>
      </w:r>
      <w:proofErr w:type="gramEnd"/>
      <w:r>
        <w:rPr>
          <w:rFonts w:ascii="Arial" w:hAnsi="Arial" w:cs="Arial"/>
          <w:sz w:val="20"/>
        </w:rPr>
        <w:t xml:space="preserve"> receive the termination benefits. If employees are required to render service until they are terminated the liability/expense should be recognized ratably over the future service period, even if the benefit formula used to calculate the termination benefit is based on past service.</w:t>
      </w:r>
    </w:p>
    <w:p w14:paraId="68E9BEC4" w14:textId="77777777" w:rsidR="00DF7DFD" w:rsidRDefault="00DF7DFD" w:rsidP="00B5048D">
      <w:pPr>
        <w:spacing w:line="0" w:lineRule="atLeast"/>
        <w:ind w:left="360"/>
        <w:jc w:val="both"/>
        <w:rPr>
          <w:rFonts w:ascii="Arial" w:hAnsi="Arial" w:cs="Arial"/>
          <w:sz w:val="20"/>
        </w:rPr>
      </w:pPr>
    </w:p>
    <w:p w14:paraId="6A4843C3" w14:textId="6CB7B1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Annual incentive plan expenses are accrued each period on a </w:t>
      </w:r>
      <w:r w:rsidR="00AB2EBD">
        <w:rPr>
          <w:rFonts w:ascii="Arial" w:hAnsi="Arial" w:cs="Arial"/>
          <w:sz w:val="20"/>
        </w:rPr>
        <w:t>straight-line</w:t>
      </w:r>
      <w:r>
        <w:rPr>
          <w:rFonts w:ascii="Arial" w:hAnsi="Arial" w:cs="Arial"/>
          <w:sz w:val="20"/>
        </w:rPr>
        <w:t xml:space="preserve"> basis at 100% until data becomes available that supports the payout at something more or less than 100%. The estimated employer portion of the payroll tax (in the pay-out year) as well as the estimated 401(k) employer contribution should also be accrued.  Upon determining that the pay-out will be more or </w:t>
      </w:r>
      <w:proofErr w:type="gramStart"/>
      <w:r>
        <w:rPr>
          <w:rFonts w:ascii="Arial" w:hAnsi="Arial" w:cs="Arial"/>
          <w:sz w:val="20"/>
        </w:rPr>
        <w:t>less than</w:t>
      </w:r>
      <w:proofErr w:type="gramEnd"/>
      <w:r>
        <w:rPr>
          <w:rFonts w:ascii="Arial" w:hAnsi="Arial" w:cs="Arial"/>
          <w:sz w:val="20"/>
        </w:rPr>
        <w:t xml:space="preserve"> 100% or any other change in the </w:t>
      </w:r>
      <w:r w:rsidR="001364AD">
        <w:rPr>
          <w:rFonts w:ascii="Arial" w:hAnsi="Arial" w:cs="Arial"/>
          <w:sz w:val="20"/>
        </w:rPr>
        <w:t>estimate,</w:t>
      </w:r>
      <w:r>
        <w:rPr>
          <w:rFonts w:ascii="Arial" w:hAnsi="Arial" w:cs="Arial"/>
          <w:sz w:val="20"/>
        </w:rPr>
        <w:t xml:space="preserve"> thereafter, should be recorded in the period of the revised estimate.</w:t>
      </w:r>
    </w:p>
    <w:p w14:paraId="715C7285" w14:textId="77777777" w:rsidR="00DF7DFD" w:rsidRDefault="00DF7DFD" w:rsidP="00B5048D">
      <w:pPr>
        <w:pStyle w:val="ListParagraph"/>
        <w:spacing w:line="0" w:lineRule="atLeast"/>
        <w:ind w:left="360"/>
        <w:contextualSpacing/>
        <w:jc w:val="both"/>
        <w:rPr>
          <w:rFonts w:ascii="Arial" w:hAnsi="Arial" w:cs="Arial"/>
          <w:sz w:val="20"/>
        </w:rPr>
      </w:pPr>
    </w:p>
    <w:p w14:paraId="02A23AA0"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All other bonuses, related payroll tax, and employer defined contribution plan contribution expenses are recognized in the period earned.  </w:t>
      </w:r>
    </w:p>
    <w:p w14:paraId="4667FDBE" w14:textId="77777777" w:rsidR="00370310" w:rsidRDefault="00370310" w:rsidP="00B5048D">
      <w:pPr>
        <w:pStyle w:val="ListParagraph"/>
        <w:spacing w:line="0" w:lineRule="atLeast"/>
        <w:ind w:left="360"/>
        <w:contextualSpacing/>
        <w:jc w:val="both"/>
        <w:rPr>
          <w:rFonts w:ascii="Arial" w:hAnsi="Arial" w:cs="Arial"/>
          <w:sz w:val="20"/>
        </w:rPr>
      </w:pPr>
    </w:p>
    <w:p w14:paraId="6E71FB8E" w14:textId="07DF510A" w:rsidR="00BD7EC7" w:rsidRPr="00E90E48" w:rsidRDefault="00BD7EC7" w:rsidP="00B5048D">
      <w:pPr>
        <w:pStyle w:val="ListParagraph"/>
        <w:spacing w:line="0" w:lineRule="atLeast"/>
        <w:ind w:left="360"/>
        <w:contextualSpacing/>
        <w:jc w:val="both"/>
        <w:rPr>
          <w:rFonts w:ascii="Arial" w:hAnsi="Arial" w:cs="Arial"/>
          <w:i/>
          <w:iCs/>
          <w:sz w:val="20"/>
          <w:u w:val="single"/>
        </w:rPr>
      </w:pPr>
      <w:r w:rsidRPr="00E90E48">
        <w:rPr>
          <w:rFonts w:ascii="Arial" w:hAnsi="Arial" w:cs="Arial"/>
          <w:i/>
          <w:iCs/>
          <w:sz w:val="20"/>
          <w:u w:val="single"/>
        </w:rPr>
        <w:t>Sign on and retention bonuses that must be 100% repaid to the Company if employment is termination (100% repayment clause)</w:t>
      </w:r>
    </w:p>
    <w:p w14:paraId="75404546" w14:textId="77777777" w:rsidR="00BD7EC7" w:rsidRPr="00E90E48" w:rsidRDefault="00BD7EC7" w:rsidP="00B5048D">
      <w:pPr>
        <w:pStyle w:val="ListParagraph"/>
        <w:spacing w:line="0" w:lineRule="atLeast"/>
        <w:ind w:left="360"/>
        <w:contextualSpacing/>
        <w:jc w:val="both"/>
        <w:rPr>
          <w:rFonts w:ascii="Arial" w:hAnsi="Arial" w:cs="Arial"/>
          <w:i/>
          <w:iCs/>
          <w:sz w:val="20"/>
        </w:rPr>
      </w:pPr>
    </w:p>
    <w:p w14:paraId="5B8456B8" w14:textId="60C11A6D" w:rsidR="00370310" w:rsidRDefault="00370310" w:rsidP="00B5048D">
      <w:pPr>
        <w:pStyle w:val="ListParagraph"/>
        <w:spacing w:line="0" w:lineRule="atLeast"/>
        <w:ind w:left="360"/>
        <w:contextualSpacing/>
        <w:jc w:val="both"/>
        <w:rPr>
          <w:rFonts w:ascii="Arial" w:hAnsi="Arial" w:cs="Arial"/>
          <w:sz w:val="20"/>
        </w:rPr>
      </w:pPr>
      <w:proofErr w:type="gramStart"/>
      <w:r>
        <w:rPr>
          <w:rFonts w:ascii="Arial" w:hAnsi="Arial" w:cs="Arial"/>
          <w:sz w:val="20"/>
        </w:rPr>
        <w:t>Sign on</w:t>
      </w:r>
      <w:proofErr w:type="gramEnd"/>
      <w:r>
        <w:rPr>
          <w:rFonts w:ascii="Arial" w:hAnsi="Arial" w:cs="Arial"/>
          <w:sz w:val="20"/>
        </w:rPr>
        <w:t xml:space="preserve"> and retention bonuses that must be </w:t>
      </w:r>
      <w:r w:rsidR="00BD7EC7">
        <w:rPr>
          <w:rFonts w:ascii="Arial" w:hAnsi="Arial" w:cs="Arial"/>
          <w:sz w:val="20"/>
        </w:rPr>
        <w:t xml:space="preserve">100% </w:t>
      </w:r>
      <w:r>
        <w:rPr>
          <w:rFonts w:ascii="Arial" w:hAnsi="Arial" w:cs="Arial"/>
          <w:sz w:val="20"/>
        </w:rPr>
        <w:t xml:space="preserve">repaid to the Company if employment is terminated prior to a specified date are </w:t>
      </w:r>
      <w:proofErr w:type="gramStart"/>
      <w:r>
        <w:rPr>
          <w:rFonts w:ascii="Arial" w:hAnsi="Arial" w:cs="Arial"/>
          <w:sz w:val="20"/>
        </w:rPr>
        <w:t>expensed</w:t>
      </w:r>
      <w:proofErr w:type="gramEnd"/>
      <w:r>
        <w:rPr>
          <w:rFonts w:ascii="Arial" w:hAnsi="Arial" w:cs="Arial"/>
          <w:sz w:val="20"/>
        </w:rPr>
        <w:t xml:space="preserve"> over the applicable service period. The service period starts on the hire date (or the date the retention bonus was granted) through the specific date in the agreement. If employment is terminated prior to the end of the service period HR, payroll, and the legal departments, as needed, will work with the employee to obtain return of the funds.  Amounts already </w:t>
      </w:r>
      <w:proofErr w:type="gramStart"/>
      <w:r>
        <w:rPr>
          <w:rFonts w:ascii="Arial" w:hAnsi="Arial" w:cs="Arial"/>
          <w:sz w:val="20"/>
        </w:rPr>
        <w:t>expensed</w:t>
      </w:r>
      <w:proofErr w:type="gramEnd"/>
      <w:r>
        <w:rPr>
          <w:rFonts w:ascii="Arial" w:hAnsi="Arial" w:cs="Arial"/>
          <w:sz w:val="20"/>
        </w:rPr>
        <w:t xml:space="preserve"> will not be reversed until cash is received</w:t>
      </w:r>
      <w:r w:rsidR="00BD7EC7">
        <w:rPr>
          <w:rFonts w:ascii="Arial" w:hAnsi="Arial" w:cs="Arial"/>
          <w:sz w:val="20"/>
        </w:rPr>
        <w:t xml:space="preserve"> (gain contingency). Any </w:t>
      </w:r>
      <w:r>
        <w:rPr>
          <w:rFonts w:ascii="Arial" w:hAnsi="Arial" w:cs="Arial"/>
          <w:sz w:val="20"/>
        </w:rPr>
        <w:t xml:space="preserve">remaining asset balance that </w:t>
      </w:r>
      <w:proofErr w:type="gramStart"/>
      <w:r>
        <w:rPr>
          <w:rFonts w:ascii="Arial" w:hAnsi="Arial" w:cs="Arial"/>
          <w:sz w:val="20"/>
        </w:rPr>
        <w:t>had</w:t>
      </w:r>
      <w:proofErr w:type="gramEnd"/>
      <w:r>
        <w:rPr>
          <w:rFonts w:ascii="Arial" w:hAnsi="Arial" w:cs="Arial"/>
          <w:sz w:val="20"/>
        </w:rPr>
        <w:t xml:space="preserve"> not yet been </w:t>
      </w:r>
      <w:proofErr w:type="gramStart"/>
      <w:r>
        <w:rPr>
          <w:rFonts w:ascii="Arial" w:hAnsi="Arial" w:cs="Arial"/>
          <w:sz w:val="20"/>
        </w:rPr>
        <w:t>expensed</w:t>
      </w:r>
      <w:proofErr w:type="gramEnd"/>
      <w:r>
        <w:rPr>
          <w:rFonts w:ascii="Arial" w:hAnsi="Arial" w:cs="Arial"/>
          <w:sz w:val="20"/>
        </w:rPr>
        <w:t xml:space="preserve"> will be </w:t>
      </w:r>
      <w:r w:rsidR="00BD7EC7">
        <w:rPr>
          <w:rFonts w:ascii="Arial" w:hAnsi="Arial" w:cs="Arial"/>
          <w:sz w:val="20"/>
        </w:rPr>
        <w:t xml:space="preserve">evaluated for collectability and accounted for accordingly.  If collectability is probable, the asset will remain on the balance sheet; </w:t>
      </w:r>
      <w:proofErr w:type="gramStart"/>
      <w:r w:rsidR="00BD7EC7">
        <w:rPr>
          <w:rFonts w:ascii="Arial" w:hAnsi="Arial" w:cs="Arial"/>
          <w:sz w:val="20"/>
        </w:rPr>
        <w:t>otherwise</w:t>
      </w:r>
      <w:proofErr w:type="gramEnd"/>
      <w:r w:rsidR="00BD7EC7">
        <w:rPr>
          <w:rFonts w:ascii="Arial" w:hAnsi="Arial" w:cs="Arial"/>
          <w:sz w:val="20"/>
        </w:rPr>
        <w:t xml:space="preserve"> it will be </w:t>
      </w:r>
      <w:proofErr w:type="gramStart"/>
      <w:r w:rsidR="00BD7EC7">
        <w:rPr>
          <w:rFonts w:ascii="Arial" w:hAnsi="Arial" w:cs="Arial"/>
          <w:sz w:val="20"/>
        </w:rPr>
        <w:t>expensed</w:t>
      </w:r>
      <w:proofErr w:type="gramEnd"/>
      <w:r w:rsidR="00BD7EC7">
        <w:rPr>
          <w:rFonts w:ascii="Arial" w:hAnsi="Arial" w:cs="Arial"/>
          <w:sz w:val="20"/>
        </w:rPr>
        <w:t xml:space="preserve"> as soon as it is deemed to not be probable of collection.</w:t>
      </w:r>
    </w:p>
    <w:p w14:paraId="24AFCB97" w14:textId="77777777" w:rsidR="00DF7DFD" w:rsidRDefault="00DF7DFD" w:rsidP="00B5048D">
      <w:pPr>
        <w:spacing w:line="0" w:lineRule="atLeast"/>
        <w:ind w:left="720"/>
        <w:jc w:val="both"/>
        <w:rPr>
          <w:rFonts w:ascii="Arial" w:hAnsi="Arial" w:cs="Arial"/>
          <w:sz w:val="20"/>
        </w:rPr>
      </w:pPr>
    </w:p>
    <w:p w14:paraId="072233EE"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 xml:space="preserve">23.3 </w:t>
      </w:r>
      <w:bookmarkStart w:id="91" w:name="EmpBenefits"/>
      <w:r>
        <w:rPr>
          <w:rFonts w:ascii="Century Gothic" w:hAnsi="Century Gothic" w:cs="Arial"/>
          <w:b/>
          <w:sz w:val="20"/>
        </w:rPr>
        <w:t>Employee Benefits</w:t>
      </w:r>
      <w:bookmarkEnd w:id="91"/>
    </w:p>
    <w:p w14:paraId="462EF44C" w14:textId="5B3612CB"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Health and other </w:t>
      </w:r>
      <w:proofErr w:type="gramStart"/>
      <w:r>
        <w:rPr>
          <w:rFonts w:ascii="Arial" w:hAnsi="Arial" w:cs="Arial"/>
          <w:sz w:val="20"/>
        </w:rPr>
        <w:t>insurances</w:t>
      </w:r>
      <w:proofErr w:type="gramEnd"/>
      <w:r>
        <w:rPr>
          <w:rFonts w:ascii="Arial" w:hAnsi="Arial" w:cs="Arial"/>
          <w:sz w:val="20"/>
        </w:rPr>
        <w:t xml:space="preserve"> are provided to </w:t>
      </w:r>
      <w:proofErr w:type="gramStart"/>
      <w:r>
        <w:rPr>
          <w:rFonts w:ascii="Arial" w:hAnsi="Arial" w:cs="Arial"/>
          <w:sz w:val="20"/>
        </w:rPr>
        <w:t>employees</w:t>
      </w:r>
      <w:proofErr w:type="gramEnd"/>
      <w:r>
        <w:rPr>
          <w:rFonts w:ascii="Arial" w:hAnsi="Arial" w:cs="Arial"/>
          <w:sz w:val="20"/>
        </w:rPr>
        <w:t xml:space="preserve"> and the premiums and administrative fees should be expensed in the </w:t>
      </w:r>
      <w:proofErr w:type="gramStart"/>
      <w:r>
        <w:rPr>
          <w:rFonts w:ascii="Arial" w:hAnsi="Arial" w:cs="Arial"/>
          <w:sz w:val="20"/>
        </w:rPr>
        <w:t>Health</w:t>
      </w:r>
      <w:proofErr w:type="gramEnd"/>
      <w:r>
        <w:rPr>
          <w:rFonts w:ascii="Arial" w:hAnsi="Arial" w:cs="Arial"/>
          <w:sz w:val="20"/>
        </w:rPr>
        <w:t xml:space="preserve"> and other Employee </w:t>
      </w:r>
      <w:r w:rsidRPr="001364AD">
        <w:rPr>
          <w:rFonts w:ascii="Arial" w:hAnsi="Arial" w:cs="Arial"/>
          <w:sz w:val="20"/>
        </w:rPr>
        <w:t xml:space="preserve">Insurance </w:t>
      </w:r>
      <w:r w:rsidR="00163A8B" w:rsidRPr="001364AD">
        <w:rPr>
          <w:rFonts w:ascii="Arial" w:hAnsi="Arial" w:cs="Arial"/>
          <w:sz w:val="20"/>
        </w:rPr>
        <w:t xml:space="preserve">G/L </w:t>
      </w:r>
      <w:r w:rsidRPr="001364AD">
        <w:rPr>
          <w:rFonts w:ascii="Arial" w:hAnsi="Arial" w:cs="Arial"/>
          <w:sz w:val="20"/>
        </w:rPr>
        <w:t>account</w:t>
      </w:r>
      <w:r>
        <w:rPr>
          <w:rFonts w:ascii="Arial" w:hAnsi="Arial" w:cs="Arial"/>
          <w:sz w:val="20"/>
        </w:rPr>
        <w:t xml:space="preserve"> (610820), in the period incurred.  In the U.S., the employee health insurance is self-funded. Claims are to be </w:t>
      </w:r>
      <w:proofErr w:type="gramStart"/>
      <w:r>
        <w:rPr>
          <w:rFonts w:ascii="Arial" w:hAnsi="Arial" w:cs="Arial"/>
          <w:sz w:val="20"/>
        </w:rPr>
        <w:t>expensed</w:t>
      </w:r>
      <w:proofErr w:type="gramEnd"/>
      <w:r>
        <w:rPr>
          <w:rFonts w:ascii="Arial" w:hAnsi="Arial" w:cs="Arial"/>
          <w:sz w:val="20"/>
        </w:rPr>
        <w:t xml:space="preserve"> in the month paid.  In addition, a liability is recorded for the estimated incurred but not reported claims.  Premiums collected from employees are recorded as a reduction to the expense.  Stop-loss coverage premiums are recorded in the period incurred, offset by claims to be refunded </w:t>
      </w:r>
      <w:proofErr w:type="gramStart"/>
      <w:r>
        <w:rPr>
          <w:rFonts w:ascii="Arial" w:hAnsi="Arial" w:cs="Arial"/>
          <w:sz w:val="20"/>
        </w:rPr>
        <w:t>as a result of</w:t>
      </w:r>
      <w:proofErr w:type="gramEnd"/>
      <w:r>
        <w:rPr>
          <w:rFonts w:ascii="Arial" w:hAnsi="Arial" w:cs="Arial"/>
          <w:sz w:val="20"/>
        </w:rPr>
        <w:t xml:space="preserve"> the coverage.</w:t>
      </w:r>
    </w:p>
    <w:p w14:paraId="125EE25A" w14:textId="77777777" w:rsidR="00DF7DFD" w:rsidRDefault="00DF7DFD" w:rsidP="00B5048D">
      <w:pPr>
        <w:pStyle w:val="ListParagraph"/>
        <w:spacing w:line="0" w:lineRule="atLeast"/>
        <w:ind w:left="360"/>
        <w:contextualSpacing/>
        <w:jc w:val="both"/>
        <w:rPr>
          <w:rFonts w:ascii="Arial" w:hAnsi="Arial" w:cs="Arial"/>
          <w:sz w:val="20"/>
        </w:rPr>
      </w:pPr>
    </w:p>
    <w:p w14:paraId="5D1E48E5"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Short-term employee benefits that are accumulating and can be carried forward and used within the next 12 months (if the </w:t>
      </w:r>
      <w:proofErr w:type="gramStart"/>
      <w:r>
        <w:rPr>
          <w:rFonts w:ascii="Arial" w:hAnsi="Arial" w:cs="Arial"/>
          <w:sz w:val="20"/>
        </w:rPr>
        <w:t>current period’s</w:t>
      </w:r>
      <w:proofErr w:type="gramEnd"/>
      <w:r>
        <w:rPr>
          <w:rFonts w:ascii="Arial" w:hAnsi="Arial" w:cs="Arial"/>
          <w:sz w:val="20"/>
        </w:rPr>
        <w:t xml:space="preserve"> entitlement is not used in full) should be accrued in full at the year end.</w:t>
      </w:r>
    </w:p>
    <w:p w14:paraId="6DDF6DDA" w14:textId="77777777" w:rsidR="00DF7DFD" w:rsidRDefault="00DF7DFD" w:rsidP="00B5048D">
      <w:pPr>
        <w:pStyle w:val="ListParagraph"/>
        <w:spacing w:line="0" w:lineRule="atLeast"/>
        <w:ind w:left="360"/>
        <w:contextualSpacing/>
        <w:jc w:val="both"/>
        <w:rPr>
          <w:rFonts w:ascii="Arial" w:hAnsi="Arial" w:cs="Arial"/>
          <w:sz w:val="20"/>
        </w:rPr>
      </w:pPr>
    </w:p>
    <w:p w14:paraId="2F863D48" w14:textId="77777777"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Employee travel and other related costs should be expensed as incurred. Expenses charged as </w:t>
      </w:r>
      <w:proofErr w:type="gramStart"/>
      <w:r>
        <w:rPr>
          <w:rFonts w:ascii="Arial" w:hAnsi="Arial" w:cs="Arial"/>
          <w:sz w:val="20"/>
        </w:rPr>
        <w:t>personal</w:t>
      </w:r>
      <w:proofErr w:type="gramEnd"/>
      <w:r>
        <w:rPr>
          <w:rFonts w:ascii="Arial" w:hAnsi="Arial" w:cs="Arial"/>
          <w:sz w:val="20"/>
        </w:rPr>
        <w:t xml:space="preserve"> should be recorded as </w:t>
      </w:r>
      <w:proofErr w:type="gramStart"/>
      <w:r>
        <w:rPr>
          <w:rFonts w:ascii="Arial" w:hAnsi="Arial" w:cs="Arial"/>
          <w:sz w:val="20"/>
        </w:rPr>
        <w:t>a receivable</w:t>
      </w:r>
      <w:proofErr w:type="gramEnd"/>
      <w:r>
        <w:rPr>
          <w:rFonts w:ascii="Arial" w:hAnsi="Arial" w:cs="Arial"/>
          <w:sz w:val="20"/>
        </w:rPr>
        <w:t xml:space="preserve"> until withheld from employee payroll. </w:t>
      </w:r>
    </w:p>
    <w:p w14:paraId="4BE9BB03" w14:textId="77777777" w:rsidR="00DF7DFD" w:rsidRDefault="00DF7DFD" w:rsidP="00B5048D">
      <w:pPr>
        <w:pStyle w:val="ListParagraph"/>
        <w:spacing w:line="0" w:lineRule="atLeast"/>
        <w:ind w:left="0"/>
        <w:contextualSpacing/>
        <w:jc w:val="both"/>
        <w:rPr>
          <w:rFonts w:ascii="Arial" w:hAnsi="Arial" w:cs="Arial"/>
          <w:sz w:val="20"/>
        </w:rPr>
      </w:pPr>
    </w:p>
    <w:p w14:paraId="60B84358" w14:textId="77777777" w:rsidR="00DF7DFD" w:rsidRDefault="00F62BB8" w:rsidP="00B5048D">
      <w:pPr>
        <w:spacing w:line="0" w:lineRule="atLeast"/>
        <w:ind w:left="360"/>
        <w:jc w:val="both"/>
        <w:rPr>
          <w:rFonts w:ascii="Century Gothic" w:hAnsi="Century Gothic" w:cs="Arial"/>
          <w:b/>
          <w:sz w:val="20"/>
        </w:rPr>
      </w:pPr>
      <w:r>
        <w:rPr>
          <w:rFonts w:ascii="Century Gothic" w:hAnsi="Century Gothic" w:cs="Arial"/>
          <w:b/>
          <w:sz w:val="20"/>
        </w:rPr>
        <w:t xml:space="preserve">23.4 </w:t>
      </w:r>
      <w:bookmarkStart w:id="92" w:name="PostRetire"/>
      <w:r>
        <w:rPr>
          <w:rFonts w:ascii="Century Gothic" w:hAnsi="Century Gothic" w:cs="Arial"/>
          <w:b/>
          <w:sz w:val="20"/>
        </w:rPr>
        <w:t>Post Retirement Benefits</w:t>
      </w:r>
      <w:bookmarkEnd w:id="92"/>
    </w:p>
    <w:p w14:paraId="17FC7E55" w14:textId="7C3FED08" w:rsidR="00DF7DFD" w:rsidRDefault="00F62BB8" w:rsidP="00B5048D">
      <w:pPr>
        <w:spacing w:line="0" w:lineRule="atLeast"/>
        <w:ind w:left="360"/>
        <w:jc w:val="both"/>
        <w:rPr>
          <w:rFonts w:ascii="Arial" w:hAnsi="Arial" w:cs="Arial"/>
          <w:sz w:val="20"/>
        </w:rPr>
      </w:pPr>
      <w:r>
        <w:rPr>
          <w:rFonts w:ascii="Arial" w:hAnsi="Arial" w:cs="Arial"/>
          <w:sz w:val="20"/>
        </w:rPr>
        <w:t xml:space="preserve">If defined benefit pension schemes exist, they should be revalued for accounting purposes every year.  Changes to actuarial assumptions as used for the accounting valuations should be approved by the </w:t>
      </w:r>
      <w:r w:rsidR="00CF6111">
        <w:rPr>
          <w:rFonts w:ascii="Arial" w:hAnsi="Arial" w:cs="Arial"/>
          <w:sz w:val="20"/>
        </w:rPr>
        <w:t>CAO</w:t>
      </w:r>
      <w:r>
        <w:rPr>
          <w:rFonts w:ascii="Arial" w:hAnsi="Arial" w:cs="Arial"/>
          <w:sz w:val="20"/>
        </w:rPr>
        <w:t>. The employer’s portion of past and current service cost is charged to Payroll Pension/401K expense (610790), with the interest cost net of expected return on assets reported as interest expense (700100).  All actuarial gains (</w:t>
      </w:r>
      <w:proofErr w:type="gramStart"/>
      <w:r>
        <w:rPr>
          <w:rFonts w:ascii="Arial" w:hAnsi="Arial" w:cs="Arial"/>
          <w:sz w:val="20"/>
        </w:rPr>
        <w:t>losses</w:t>
      </w:r>
      <w:proofErr w:type="gramEnd"/>
      <w:r>
        <w:rPr>
          <w:rFonts w:ascii="Arial" w:hAnsi="Arial" w:cs="Arial"/>
          <w:sz w:val="20"/>
        </w:rPr>
        <w:t>) are recognized directly in equity as a component of accumulated other comprehensive income (333999).</w:t>
      </w:r>
    </w:p>
    <w:p w14:paraId="4C8743EB" w14:textId="77777777" w:rsidR="00DF7DFD" w:rsidRDefault="00DF7DFD" w:rsidP="00B5048D">
      <w:pPr>
        <w:spacing w:line="0" w:lineRule="atLeast"/>
        <w:ind w:left="1080"/>
        <w:jc w:val="both"/>
        <w:rPr>
          <w:rFonts w:ascii="Arial" w:hAnsi="Arial" w:cs="Arial"/>
          <w:sz w:val="20"/>
        </w:rPr>
      </w:pPr>
    </w:p>
    <w:p w14:paraId="7C455B52" w14:textId="77777777" w:rsidR="00DF7DFD" w:rsidRDefault="00F62BB8" w:rsidP="00B5048D">
      <w:pPr>
        <w:spacing w:line="0" w:lineRule="atLeast"/>
        <w:ind w:left="360"/>
        <w:jc w:val="both"/>
        <w:rPr>
          <w:rFonts w:ascii="Arial" w:hAnsi="Arial" w:cs="Arial"/>
          <w:sz w:val="20"/>
        </w:rPr>
      </w:pPr>
      <w:r>
        <w:rPr>
          <w:rFonts w:ascii="Arial" w:hAnsi="Arial" w:cs="Arial"/>
          <w:sz w:val="20"/>
        </w:rPr>
        <w:t xml:space="preserve">Where defined contribution plans operate, the employer matching contributions to these plans as well as any </w:t>
      </w:r>
      <w:proofErr w:type="gramStart"/>
      <w:r>
        <w:rPr>
          <w:rFonts w:ascii="Arial" w:hAnsi="Arial" w:cs="Arial"/>
          <w:sz w:val="20"/>
        </w:rPr>
        <w:t>profit sharing</w:t>
      </w:r>
      <w:proofErr w:type="gramEnd"/>
      <w:r>
        <w:rPr>
          <w:rFonts w:ascii="Arial" w:hAnsi="Arial" w:cs="Arial"/>
          <w:sz w:val="20"/>
        </w:rPr>
        <w:t xml:space="preserve"> contributions are charged to Payroll Pension/401K expense (610790) as they are earned, which is in conjunction with when the taxable compensation is earned.  </w:t>
      </w:r>
    </w:p>
    <w:p w14:paraId="0BCD4789" w14:textId="77777777" w:rsidR="00DF7DFD" w:rsidRDefault="00DF7DFD" w:rsidP="00B5048D">
      <w:pPr>
        <w:spacing w:line="0" w:lineRule="atLeast"/>
        <w:ind w:left="1080"/>
        <w:jc w:val="both"/>
        <w:rPr>
          <w:rFonts w:ascii="Arial" w:hAnsi="Arial" w:cs="Arial"/>
          <w:sz w:val="20"/>
        </w:rPr>
      </w:pPr>
    </w:p>
    <w:p w14:paraId="5D3E183A" w14:textId="4DDBB692" w:rsidR="00DF7DFD" w:rsidRDefault="00F62BB8" w:rsidP="007F212B">
      <w:pPr>
        <w:ind w:left="360"/>
        <w:jc w:val="both"/>
        <w:rPr>
          <w:rFonts w:ascii="Century Gothic" w:hAnsi="Century Gothic" w:cs="Arial"/>
          <w:b/>
          <w:sz w:val="20"/>
        </w:rPr>
      </w:pPr>
      <w:r>
        <w:rPr>
          <w:rFonts w:ascii="Century Gothic" w:hAnsi="Century Gothic" w:cs="Arial"/>
          <w:b/>
          <w:sz w:val="20"/>
        </w:rPr>
        <w:t xml:space="preserve">23.5 </w:t>
      </w:r>
      <w:bookmarkStart w:id="93" w:name="EquityComp"/>
      <w:r>
        <w:rPr>
          <w:rFonts w:ascii="Century Gothic" w:hAnsi="Century Gothic" w:cs="Arial"/>
          <w:b/>
          <w:sz w:val="20"/>
        </w:rPr>
        <w:t>Equity</w:t>
      </w:r>
      <w:r w:rsidR="005749E6">
        <w:rPr>
          <w:rFonts w:ascii="Century Gothic" w:hAnsi="Century Gothic" w:cs="Arial"/>
          <w:b/>
          <w:sz w:val="20"/>
        </w:rPr>
        <w:t xml:space="preserve">-Based </w:t>
      </w:r>
      <w:r>
        <w:rPr>
          <w:rFonts w:ascii="Century Gothic" w:hAnsi="Century Gothic" w:cs="Arial"/>
          <w:b/>
          <w:sz w:val="20"/>
        </w:rPr>
        <w:t>Compensation</w:t>
      </w:r>
      <w:bookmarkEnd w:id="93"/>
    </w:p>
    <w:p w14:paraId="2B37127A" w14:textId="5D1565B7" w:rsidR="005344EA" w:rsidRDefault="007F212B" w:rsidP="007F212B">
      <w:pPr>
        <w:pStyle w:val="ListParagraph"/>
        <w:ind w:left="360"/>
        <w:contextualSpacing/>
        <w:jc w:val="both"/>
        <w:rPr>
          <w:rFonts w:ascii="Arial" w:hAnsi="Arial" w:cs="Arial"/>
          <w:sz w:val="20"/>
          <w:szCs w:val="20"/>
        </w:rPr>
      </w:pPr>
      <w:r>
        <w:rPr>
          <w:rFonts w:ascii="Arial" w:hAnsi="Arial" w:cs="Arial"/>
          <w:sz w:val="20"/>
          <w:szCs w:val="20"/>
        </w:rPr>
        <w:t xml:space="preserve">The Company </w:t>
      </w:r>
      <w:r w:rsidR="00253DD9">
        <w:rPr>
          <w:rFonts w:ascii="Arial" w:hAnsi="Arial" w:cs="Arial"/>
          <w:sz w:val="20"/>
          <w:szCs w:val="20"/>
        </w:rPr>
        <w:t xml:space="preserve">operates </w:t>
      </w:r>
      <w:r w:rsidRPr="00DA1685">
        <w:rPr>
          <w:rFonts w:ascii="Arial" w:hAnsi="Arial" w:cs="Arial"/>
          <w:sz w:val="20"/>
          <w:szCs w:val="20"/>
          <w:u w:val="single"/>
        </w:rPr>
        <w:t>equity-based compensation plan</w:t>
      </w:r>
      <w:r w:rsidR="000620BE">
        <w:rPr>
          <w:rFonts w:ascii="Arial" w:hAnsi="Arial" w:cs="Arial"/>
          <w:sz w:val="20"/>
          <w:szCs w:val="20"/>
          <w:u w:val="single"/>
        </w:rPr>
        <w:t>s</w:t>
      </w:r>
      <w:r w:rsidRPr="00DA1685">
        <w:rPr>
          <w:rFonts w:ascii="Arial" w:hAnsi="Arial" w:cs="Arial"/>
          <w:sz w:val="20"/>
          <w:szCs w:val="20"/>
          <w:u w:val="single"/>
        </w:rPr>
        <w:t xml:space="preserve"> </w:t>
      </w:r>
      <w:r>
        <w:rPr>
          <w:rFonts w:ascii="Arial" w:hAnsi="Arial" w:cs="Arial"/>
          <w:sz w:val="20"/>
          <w:szCs w:val="20"/>
        </w:rPr>
        <w:t xml:space="preserve">that </w:t>
      </w:r>
      <w:proofErr w:type="gramStart"/>
      <w:r>
        <w:rPr>
          <w:rFonts w:ascii="Arial" w:hAnsi="Arial" w:cs="Arial"/>
          <w:sz w:val="20"/>
          <w:szCs w:val="20"/>
        </w:rPr>
        <w:t>allows</w:t>
      </w:r>
      <w:proofErr w:type="gramEnd"/>
      <w:r>
        <w:rPr>
          <w:rFonts w:ascii="Arial" w:hAnsi="Arial" w:cs="Arial"/>
          <w:sz w:val="20"/>
          <w:szCs w:val="20"/>
        </w:rPr>
        <w:t xml:space="preserve"> for the issuance of stock options (incentive and non-qualified), restricted stock,</w:t>
      </w:r>
      <w:r w:rsidR="0099608B">
        <w:rPr>
          <w:rFonts w:ascii="Arial" w:hAnsi="Arial" w:cs="Arial"/>
          <w:sz w:val="20"/>
          <w:szCs w:val="20"/>
        </w:rPr>
        <w:t xml:space="preserve"> </w:t>
      </w:r>
      <w:r>
        <w:rPr>
          <w:rFonts w:ascii="Arial" w:hAnsi="Arial" w:cs="Arial"/>
          <w:sz w:val="20"/>
          <w:szCs w:val="20"/>
        </w:rPr>
        <w:t xml:space="preserve">restricted stock units (RSUs), and other stock-based awards. </w:t>
      </w:r>
    </w:p>
    <w:p w14:paraId="207753A1" w14:textId="77777777" w:rsidR="005344EA" w:rsidRDefault="005344EA" w:rsidP="007F212B">
      <w:pPr>
        <w:pStyle w:val="ListParagraph"/>
        <w:ind w:left="360"/>
        <w:contextualSpacing/>
        <w:jc w:val="both"/>
        <w:rPr>
          <w:rFonts w:ascii="Arial" w:hAnsi="Arial" w:cs="Arial"/>
          <w:sz w:val="20"/>
          <w:szCs w:val="20"/>
        </w:rPr>
      </w:pPr>
    </w:p>
    <w:p w14:paraId="32345186" w14:textId="33BD4573" w:rsidR="00DF7DFD" w:rsidRDefault="00F62BB8" w:rsidP="007F212B">
      <w:pPr>
        <w:pStyle w:val="ListParagraph"/>
        <w:ind w:left="360"/>
        <w:contextualSpacing/>
        <w:jc w:val="both"/>
        <w:rPr>
          <w:rFonts w:ascii="Arial" w:hAnsi="Arial" w:cs="Arial"/>
          <w:sz w:val="20"/>
        </w:rPr>
      </w:pPr>
      <w:r>
        <w:rPr>
          <w:rFonts w:ascii="Arial" w:hAnsi="Arial" w:cs="Arial"/>
          <w:sz w:val="20"/>
          <w:szCs w:val="20"/>
        </w:rPr>
        <w:t xml:space="preserve">The Company measures </w:t>
      </w:r>
      <w:r w:rsidR="007F212B">
        <w:rPr>
          <w:rFonts w:ascii="Arial" w:hAnsi="Arial" w:cs="Arial"/>
          <w:sz w:val="20"/>
          <w:szCs w:val="20"/>
        </w:rPr>
        <w:t>equity</w:t>
      </w:r>
      <w:r w:rsidR="005749E6">
        <w:rPr>
          <w:rFonts w:ascii="Arial" w:hAnsi="Arial" w:cs="Arial"/>
          <w:sz w:val="20"/>
          <w:szCs w:val="20"/>
        </w:rPr>
        <w:t>-based</w:t>
      </w:r>
      <w:r>
        <w:rPr>
          <w:rFonts w:ascii="Arial" w:hAnsi="Arial" w:cs="Arial"/>
          <w:sz w:val="20"/>
          <w:szCs w:val="20"/>
        </w:rPr>
        <w:t xml:space="preserve"> compensation cost</w:t>
      </w:r>
      <w:r w:rsidR="005749E6">
        <w:rPr>
          <w:rFonts w:ascii="Arial" w:hAnsi="Arial" w:cs="Arial"/>
          <w:sz w:val="20"/>
          <w:szCs w:val="20"/>
        </w:rPr>
        <w:t xml:space="preserve"> for equity classified awards</w:t>
      </w:r>
      <w:r>
        <w:rPr>
          <w:rFonts w:ascii="Arial" w:hAnsi="Arial" w:cs="Arial"/>
          <w:sz w:val="20"/>
          <w:szCs w:val="20"/>
        </w:rPr>
        <w:t xml:space="preserve"> at the grant date based on the fair value of the award and recognize</w:t>
      </w:r>
      <w:r w:rsidR="005749E6">
        <w:rPr>
          <w:rFonts w:ascii="Arial" w:hAnsi="Arial" w:cs="Arial"/>
          <w:sz w:val="20"/>
          <w:szCs w:val="20"/>
        </w:rPr>
        <w:t>s</w:t>
      </w:r>
      <w:r>
        <w:rPr>
          <w:rFonts w:ascii="Arial" w:hAnsi="Arial" w:cs="Arial"/>
          <w:sz w:val="20"/>
          <w:szCs w:val="20"/>
        </w:rPr>
        <w:t xml:space="preserve"> this cost as compensation expense over the required or estimated service period that awards are expected to vest.  Liability-classified awards are re-measured </w:t>
      </w:r>
      <w:proofErr w:type="gramStart"/>
      <w:r>
        <w:rPr>
          <w:rFonts w:ascii="Arial" w:hAnsi="Arial" w:cs="Arial"/>
          <w:sz w:val="20"/>
          <w:szCs w:val="20"/>
        </w:rPr>
        <w:t>to</w:t>
      </w:r>
      <w:proofErr w:type="gramEnd"/>
      <w:r>
        <w:rPr>
          <w:rFonts w:ascii="Arial" w:hAnsi="Arial" w:cs="Arial"/>
          <w:sz w:val="20"/>
          <w:szCs w:val="20"/>
        </w:rPr>
        <w:t xml:space="preserve"> fair value quarterly. Equity</w:t>
      </w:r>
      <w:r w:rsidR="007F212B">
        <w:rPr>
          <w:rFonts w:ascii="Arial" w:hAnsi="Arial" w:cs="Arial"/>
          <w:sz w:val="20"/>
          <w:szCs w:val="20"/>
        </w:rPr>
        <w:t>-based</w:t>
      </w:r>
      <w:r>
        <w:rPr>
          <w:rFonts w:ascii="Arial" w:hAnsi="Arial" w:cs="Arial"/>
          <w:sz w:val="20"/>
          <w:szCs w:val="20"/>
        </w:rPr>
        <w:t xml:space="preserve"> compensation expense is recorded </w:t>
      </w:r>
      <w:r w:rsidRPr="001364AD">
        <w:rPr>
          <w:rFonts w:ascii="Arial" w:hAnsi="Arial" w:cs="Arial"/>
          <w:sz w:val="20"/>
          <w:szCs w:val="20"/>
        </w:rPr>
        <w:t xml:space="preserve">in </w:t>
      </w:r>
      <w:r w:rsidR="00C55DA8" w:rsidRPr="001364AD">
        <w:rPr>
          <w:rFonts w:ascii="Arial" w:hAnsi="Arial" w:cs="Arial"/>
          <w:sz w:val="20"/>
          <w:szCs w:val="20"/>
        </w:rPr>
        <w:t xml:space="preserve">G/L account </w:t>
      </w:r>
      <w:r w:rsidR="00C55DA8" w:rsidRPr="001364AD">
        <w:rPr>
          <w:rFonts w:ascii="Arial" w:hAnsi="Arial"/>
          <w:sz w:val="20"/>
        </w:rPr>
        <w:t>6</w:t>
      </w:r>
      <w:r w:rsidRPr="001364AD">
        <w:rPr>
          <w:rFonts w:ascii="Arial" w:hAnsi="Arial"/>
          <w:sz w:val="20"/>
        </w:rPr>
        <w:t>10760</w:t>
      </w:r>
      <w:r w:rsidRPr="001364AD">
        <w:rPr>
          <w:rFonts w:ascii="Arial" w:hAnsi="Arial" w:cs="Arial"/>
          <w:sz w:val="20"/>
          <w:szCs w:val="20"/>
        </w:rPr>
        <w:t xml:space="preserve"> for</w:t>
      </w:r>
      <w:r>
        <w:rPr>
          <w:rFonts w:ascii="Arial" w:hAnsi="Arial" w:cs="Arial"/>
          <w:sz w:val="20"/>
          <w:szCs w:val="20"/>
        </w:rPr>
        <w:t xml:space="preserve"> equity-classified awards and 610761 for liability-classified awards</w:t>
      </w:r>
      <w:r w:rsidR="00DF5F17">
        <w:rPr>
          <w:rFonts w:ascii="Arial" w:hAnsi="Arial" w:cs="Arial"/>
          <w:sz w:val="20"/>
          <w:szCs w:val="20"/>
        </w:rPr>
        <w:t xml:space="preserve"> using the graded vesting (accelerated) approach over the requisite service (vesting) period of the award</w:t>
      </w:r>
      <w:r>
        <w:rPr>
          <w:rFonts w:ascii="Arial" w:hAnsi="Arial" w:cs="Arial"/>
          <w:sz w:val="20"/>
          <w:szCs w:val="20"/>
        </w:rPr>
        <w:t>.</w:t>
      </w:r>
      <w:r>
        <w:rPr>
          <w:rFonts w:ascii="Arial" w:hAnsi="Arial" w:cs="Arial"/>
          <w:sz w:val="20"/>
        </w:rPr>
        <w:t xml:space="preserve"> The Company accounts for forfeitures of awards when they occur.</w:t>
      </w:r>
    </w:p>
    <w:p w14:paraId="18A2DB9C" w14:textId="77777777" w:rsidR="00F72AFE" w:rsidRDefault="00F72AFE" w:rsidP="007F212B">
      <w:pPr>
        <w:pStyle w:val="ListParagraph"/>
        <w:ind w:left="360"/>
        <w:contextualSpacing/>
        <w:jc w:val="both"/>
        <w:rPr>
          <w:rFonts w:ascii="Arial" w:hAnsi="Arial" w:cs="Arial"/>
          <w:sz w:val="20"/>
        </w:rPr>
      </w:pPr>
    </w:p>
    <w:p w14:paraId="14966DF4" w14:textId="77777777" w:rsidR="00167A13" w:rsidRDefault="00F72AFE" w:rsidP="00DC178B">
      <w:pPr>
        <w:pStyle w:val="ListParagraph"/>
        <w:ind w:left="360"/>
        <w:contextualSpacing/>
        <w:jc w:val="both"/>
        <w:rPr>
          <w:rFonts w:ascii="Arial" w:hAnsi="Arial" w:cs="Arial"/>
          <w:sz w:val="20"/>
        </w:rPr>
      </w:pPr>
      <w:r>
        <w:rPr>
          <w:rFonts w:ascii="Arial" w:hAnsi="Arial" w:cs="Arial"/>
          <w:sz w:val="20"/>
        </w:rPr>
        <w:t xml:space="preserve">An </w:t>
      </w:r>
      <w:r w:rsidR="00B472D7" w:rsidRPr="00B472D7">
        <w:rPr>
          <w:rFonts w:ascii="Arial" w:hAnsi="Arial" w:cs="Arial"/>
          <w:sz w:val="20"/>
        </w:rPr>
        <w:t xml:space="preserve">award </w:t>
      </w:r>
      <w:r w:rsidR="00167A13">
        <w:rPr>
          <w:rFonts w:ascii="Arial" w:hAnsi="Arial" w:cs="Arial"/>
          <w:sz w:val="20"/>
        </w:rPr>
        <w:t>may be</w:t>
      </w:r>
      <w:r w:rsidR="00B472D7" w:rsidRPr="00B472D7">
        <w:rPr>
          <w:rFonts w:ascii="Arial" w:hAnsi="Arial" w:cs="Arial"/>
          <w:sz w:val="20"/>
        </w:rPr>
        <w:t xml:space="preserve"> classified as </w:t>
      </w:r>
      <w:r>
        <w:rPr>
          <w:rFonts w:ascii="Arial" w:hAnsi="Arial" w:cs="Arial"/>
          <w:sz w:val="20"/>
        </w:rPr>
        <w:t>a</w:t>
      </w:r>
      <w:r w:rsidR="00B472D7" w:rsidRPr="00B472D7">
        <w:rPr>
          <w:rFonts w:ascii="Arial" w:hAnsi="Arial" w:cs="Arial"/>
          <w:sz w:val="20"/>
        </w:rPr>
        <w:t xml:space="preserve"> liabilit</w:t>
      </w:r>
      <w:r>
        <w:rPr>
          <w:rFonts w:ascii="Arial" w:hAnsi="Arial" w:cs="Arial"/>
          <w:sz w:val="20"/>
        </w:rPr>
        <w:t xml:space="preserve">y if </w:t>
      </w:r>
      <w:r w:rsidR="00167A13">
        <w:rPr>
          <w:rFonts w:ascii="Arial" w:hAnsi="Arial" w:cs="Arial"/>
          <w:sz w:val="20"/>
        </w:rPr>
        <w:t>any of the following attributes are present:</w:t>
      </w:r>
    </w:p>
    <w:p w14:paraId="4B5A7E4F" w14:textId="1BAEBBCA" w:rsidR="00167A13" w:rsidRPr="00167A13" w:rsidRDefault="00167A13" w:rsidP="00DC178B">
      <w:pPr>
        <w:pStyle w:val="ListParagraph"/>
        <w:numPr>
          <w:ilvl w:val="0"/>
          <w:numId w:val="40"/>
        </w:numPr>
        <w:contextualSpacing/>
        <w:jc w:val="both"/>
        <w:rPr>
          <w:rFonts w:ascii="Arial" w:hAnsi="Arial" w:cs="Arial"/>
          <w:sz w:val="20"/>
        </w:rPr>
      </w:pPr>
      <w:r w:rsidRPr="00167A13">
        <w:rPr>
          <w:rFonts w:ascii="Arial" w:hAnsi="Arial" w:cs="Arial"/>
          <w:sz w:val="20"/>
        </w:rPr>
        <w:t xml:space="preserve">Certain instruments that would be classified as liabilities under ASC 480 </w:t>
      </w:r>
    </w:p>
    <w:p w14:paraId="69AC7962" w14:textId="290D74FC" w:rsidR="00167A13" w:rsidRPr="00167A13" w:rsidRDefault="00167A13" w:rsidP="00DC178B">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that are required to be settled in cash or other assets, including instances when the award is puttable by the grantee to the </w:t>
      </w:r>
      <w:r>
        <w:rPr>
          <w:rFonts w:ascii="Arial" w:hAnsi="Arial" w:cs="Arial"/>
          <w:sz w:val="20"/>
        </w:rPr>
        <w:t>Company</w:t>
      </w:r>
      <w:r w:rsidRPr="00167A13">
        <w:rPr>
          <w:rFonts w:ascii="Arial" w:hAnsi="Arial" w:cs="Arial"/>
          <w:sz w:val="20"/>
        </w:rPr>
        <w:t xml:space="preserve"> based on a contingent event that is within the control of the grantee </w:t>
      </w:r>
    </w:p>
    <w:p w14:paraId="18B998E5" w14:textId="2093EF05"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that require cash settlement on the occurrence of a contingent event that is not within the control of the grantee and is considered probable</w:t>
      </w:r>
    </w:p>
    <w:p w14:paraId="232B3913" w14:textId="4D43240D"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to acquire liability-classified shares</w:t>
      </w:r>
    </w:p>
    <w:p w14:paraId="4C394400" w14:textId="289E7372"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that include share repurchase features, and the grantee is not expected to be subject to the normal risks and rewards of share ownership </w:t>
      </w:r>
    </w:p>
    <w:p w14:paraId="70C14197" w14:textId="741B421F"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that include conditions other than service, performance or market conditions that affect their fair value, exercisability or vesting</w:t>
      </w:r>
    </w:p>
    <w:p w14:paraId="40FE27CE" w14:textId="12F03D58"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that can be settled in cash or shares at the option of the grantee (e.g., tandem options)</w:t>
      </w:r>
    </w:p>
    <w:p w14:paraId="7149DDAE" w14:textId="615499CD"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that are equity in </w:t>
      </w:r>
      <w:proofErr w:type="gramStart"/>
      <w:r w:rsidRPr="00167A13">
        <w:rPr>
          <w:rFonts w:ascii="Arial" w:hAnsi="Arial" w:cs="Arial"/>
          <w:sz w:val="20"/>
        </w:rPr>
        <w:t>form</w:t>
      </w:r>
      <w:proofErr w:type="gramEnd"/>
      <w:r w:rsidRPr="00167A13">
        <w:rPr>
          <w:rFonts w:ascii="Arial" w:hAnsi="Arial" w:cs="Arial"/>
          <w:sz w:val="20"/>
        </w:rPr>
        <w:t xml:space="preserve"> but the </w:t>
      </w:r>
      <w:r>
        <w:rPr>
          <w:rFonts w:ascii="Arial" w:hAnsi="Arial" w:cs="Arial"/>
          <w:sz w:val="20"/>
        </w:rPr>
        <w:t>Company</w:t>
      </w:r>
      <w:r w:rsidRPr="00167A13">
        <w:rPr>
          <w:rFonts w:ascii="Arial" w:hAnsi="Arial" w:cs="Arial"/>
          <w:sz w:val="20"/>
        </w:rPr>
        <w:t xml:space="preserve"> either has </w:t>
      </w:r>
      <w:proofErr w:type="gramStart"/>
      <w:r w:rsidRPr="00167A13">
        <w:rPr>
          <w:rFonts w:ascii="Arial" w:hAnsi="Arial" w:cs="Arial"/>
          <w:sz w:val="20"/>
        </w:rPr>
        <w:t>a past</w:t>
      </w:r>
      <w:proofErr w:type="gramEnd"/>
      <w:r w:rsidRPr="00167A13">
        <w:rPr>
          <w:rFonts w:ascii="Arial" w:hAnsi="Arial" w:cs="Arial"/>
          <w:sz w:val="20"/>
        </w:rPr>
        <w:t xml:space="preserve"> practice or an intention of cash-settling the instruments</w:t>
      </w:r>
    </w:p>
    <w:p w14:paraId="39CA3FDE" w14:textId="69F6F3B1" w:rsidR="00167A13" w:rsidRP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for which the </w:t>
      </w:r>
      <w:r>
        <w:rPr>
          <w:rFonts w:ascii="Arial" w:hAnsi="Arial" w:cs="Arial"/>
          <w:sz w:val="20"/>
        </w:rPr>
        <w:t>Company</w:t>
      </w:r>
      <w:r w:rsidRPr="00167A13">
        <w:rPr>
          <w:rFonts w:ascii="Arial" w:hAnsi="Arial" w:cs="Arial"/>
          <w:sz w:val="20"/>
        </w:rPr>
        <w:t xml:space="preserve"> can choose cash or share settlement but cannot control delivery of shares</w:t>
      </w:r>
    </w:p>
    <w:p w14:paraId="1F00F19B" w14:textId="0719696F" w:rsidR="00167A13" w:rsidRPr="00167A13" w:rsidRDefault="00167A13" w:rsidP="00B5048D">
      <w:pPr>
        <w:pStyle w:val="ListParagraph"/>
        <w:numPr>
          <w:ilvl w:val="0"/>
          <w:numId w:val="40"/>
        </w:numPr>
        <w:contextualSpacing/>
        <w:jc w:val="both"/>
        <w:rPr>
          <w:rFonts w:ascii="Arial" w:hAnsi="Arial" w:cs="Arial"/>
          <w:sz w:val="20"/>
        </w:rPr>
      </w:pPr>
      <w:r w:rsidRPr="00167A13">
        <w:rPr>
          <w:rFonts w:ascii="Arial" w:hAnsi="Arial" w:cs="Arial"/>
          <w:sz w:val="20"/>
        </w:rPr>
        <w:t xml:space="preserve">Awards where the aggregate fair value of the shares withheld (or that may be withheld at the employee’s election) </w:t>
      </w:r>
      <w:proofErr w:type="gramStart"/>
      <w:r w:rsidRPr="00167A13">
        <w:rPr>
          <w:rFonts w:ascii="Arial" w:hAnsi="Arial" w:cs="Arial"/>
          <w:sz w:val="20"/>
        </w:rPr>
        <w:t>to cover</w:t>
      </w:r>
      <w:proofErr w:type="gramEnd"/>
      <w:r w:rsidRPr="00167A13">
        <w:rPr>
          <w:rFonts w:ascii="Arial" w:hAnsi="Arial" w:cs="Arial"/>
          <w:sz w:val="20"/>
        </w:rPr>
        <w:t xml:space="preserve"> the employer’s statutory tax withholding requirements exceeds the employee’s maximum statutory rate</w:t>
      </w:r>
    </w:p>
    <w:p w14:paraId="02418581" w14:textId="2D11C6DD" w:rsidR="00167A13" w:rsidRPr="00167A13" w:rsidRDefault="00167A13" w:rsidP="00B5048D">
      <w:pPr>
        <w:pStyle w:val="ListParagraph"/>
        <w:numPr>
          <w:ilvl w:val="0"/>
          <w:numId w:val="40"/>
        </w:numPr>
        <w:contextualSpacing/>
        <w:jc w:val="both"/>
        <w:rPr>
          <w:rFonts w:ascii="Arial" w:hAnsi="Arial" w:cs="Arial"/>
          <w:sz w:val="20"/>
        </w:rPr>
      </w:pPr>
      <w:r w:rsidRPr="00167A13">
        <w:rPr>
          <w:rFonts w:ascii="Arial" w:hAnsi="Arial" w:cs="Arial"/>
          <w:sz w:val="20"/>
        </w:rPr>
        <w:t>Awards that may be settled partially in cash</w:t>
      </w:r>
    </w:p>
    <w:p w14:paraId="26AB5033" w14:textId="4DC28A8E" w:rsidR="00167A13" w:rsidRPr="00167A13" w:rsidRDefault="00167A13" w:rsidP="00B5048D">
      <w:pPr>
        <w:pStyle w:val="ListParagraph"/>
        <w:numPr>
          <w:ilvl w:val="0"/>
          <w:numId w:val="40"/>
        </w:numPr>
        <w:contextualSpacing/>
        <w:jc w:val="both"/>
        <w:rPr>
          <w:rFonts w:ascii="Arial" w:hAnsi="Arial" w:cs="Arial"/>
          <w:sz w:val="20"/>
        </w:rPr>
      </w:pPr>
      <w:r w:rsidRPr="00167A13">
        <w:rPr>
          <w:rFonts w:ascii="Arial" w:hAnsi="Arial" w:cs="Arial"/>
          <w:sz w:val="20"/>
        </w:rPr>
        <w:t>Awards of profits interest and similar interests that are liabilities in substance</w:t>
      </w:r>
    </w:p>
    <w:p w14:paraId="475E3AD4" w14:textId="7A85097D" w:rsidR="00167A13" w:rsidRDefault="00167A13" w:rsidP="00B5048D">
      <w:pPr>
        <w:pStyle w:val="ListParagraph"/>
        <w:numPr>
          <w:ilvl w:val="0"/>
          <w:numId w:val="40"/>
        </w:numPr>
        <w:contextualSpacing/>
        <w:jc w:val="both"/>
        <w:rPr>
          <w:rFonts w:ascii="Arial" w:hAnsi="Arial" w:cs="Arial"/>
          <w:sz w:val="20"/>
        </w:rPr>
      </w:pPr>
      <w:r>
        <w:rPr>
          <w:rFonts w:ascii="Arial" w:hAnsi="Arial" w:cs="Arial"/>
          <w:sz w:val="20"/>
        </w:rPr>
        <w:t>Awards</w:t>
      </w:r>
      <w:r w:rsidRPr="00167A13">
        <w:rPr>
          <w:rFonts w:ascii="Arial" w:hAnsi="Arial" w:cs="Arial"/>
          <w:sz w:val="20"/>
        </w:rPr>
        <w:t xml:space="preserve"> for which </w:t>
      </w:r>
      <w:proofErr w:type="gramStart"/>
      <w:r w:rsidRPr="00167A13">
        <w:rPr>
          <w:rFonts w:ascii="Arial" w:hAnsi="Arial" w:cs="Arial"/>
          <w:sz w:val="20"/>
        </w:rPr>
        <w:t>the fair</w:t>
      </w:r>
      <w:proofErr w:type="gramEnd"/>
      <w:r w:rsidRPr="00167A13">
        <w:rPr>
          <w:rFonts w:ascii="Arial" w:hAnsi="Arial" w:cs="Arial"/>
          <w:sz w:val="20"/>
        </w:rPr>
        <w:t xml:space="preserve"> value differs from the formula price</w:t>
      </w:r>
    </w:p>
    <w:p w14:paraId="78122555" w14:textId="77777777" w:rsidR="00167A13" w:rsidRDefault="00167A13" w:rsidP="00B5048D">
      <w:pPr>
        <w:pStyle w:val="ListParagraph"/>
        <w:ind w:left="0"/>
        <w:contextualSpacing/>
        <w:jc w:val="both"/>
        <w:rPr>
          <w:rFonts w:ascii="Arial" w:hAnsi="Arial" w:cs="Arial"/>
          <w:sz w:val="20"/>
        </w:rPr>
      </w:pPr>
    </w:p>
    <w:p w14:paraId="36B7CBF6" w14:textId="5DDE369C" w:rsidR="00B472D7" w:rsidRPr="00B472D7" w:rsidRDefault="00B472D7" w:rsidP="00B5048D">
      <w:pPr>
        <w:pStyle w:val="ListParagraph"/>
        <w:ind w:left="360"/>
        <w:contextualSpacing/>
        <w:jc w:val="both"/>
        <w:rPr>
          <w:rFonts w:ascii="Arial" w:hAnsi="Arial" w:cs="Arial"/>
          <w:sz w:val="20"/>
        </w:rPr>
      </w:pPr>
      <w:r w:rsidRPr="00B472D7">
        <w:rPr>
          <w:rFonts w:ascii="Arial" w:hAnsi="Arial" w:cs="Arial"/>
          <w:sz w:val="20"/>
        </w:rPr>
        <w:t>When an</w:t>
      </w:r>
      <w:r w:rsidR="00167A13">
        <w:rPr>
          <w:rFonts w:ascii="Arial" w:hAnsi="Arial" w:cs="Arial"/>
          <w:sz w:val="20"/>
        </w:rPr>
        <w:t xml:space="preserve"> </w:t>
      </w:r>
      <w:r w:rsidRPr="00B472D7">
        <w:rPr>
          <w:rFonts w:ascii="Arial" w:hAnsi="Arial" w:cs="Arial"/>
          <w:sz w:val="20"/>
        </w:rPr>
        <w:t>award is classified as a liability, a reporting entity should determine whether it is a current or</w:t>
      </w:r>
    </w:p>
    <w:p w14:paraId="0D01CEE6" w14:textId="189D0E62" w:rsidR="00AB49CF" w:rsidRDefault="00B472D7" w:rsidP="00B5048D">
      <w:pPr>
        <w:pStyle w:val="ListParagraph"/>
        <w:ind w:left="360"/>
        <w:contextualSpacing/>
        <w:jc w:val="both"/>
        <w:rPr>
          <w:rFonts w:ascii="Arial" w:hAnsi="Arial" w:cs="Arial"/>
          <w:sz w:val="20"/>
        </w:rPr>
      </w:pPr>
      <w:r w:rsidRPr="00B472D7">
        <w:rPr>
          <w:rFonts w:ascii="Arial" w:hAnsi="Arial" w:cs="Arial"/>
          <w:sz w:val="20"/>
        </w:rPr>
        <w:t xml:space="preserve">noncurrent liability. </w:t>
      </w:r>
      <w:r w:rsidR="00AB49CF" w:rsidRPr="00AB49CF">
        <w:rPr>
          <w:rFonts w:ascii="Arial" w:hAnsi="Arial" w:cs="Arial"/>
          <w:sz w:val="20"/>
        </w:rPr>
        <w:t>A liability-classified award is generally classified as current if a vested award is</w:t>
      </w:r>
      <w:r w:rsidR="00AB49CF">
        <w:rPr>
          <w:rFonts w:ascii="Arial" w:hAnsi="Arial" w:cs="Arial"/>
          <w:sz w:val="20"/>
        </w:rPr>
        <w:t xml:space="preserve"> </w:t>
      </w:r>
      <w:r w:rsidR="00AB49CF" w:rsidRPr="00AB49CF">
        <w:rPr>
          <w:rFonts w:ascii="Arial" w:hAnsi="Arial" w:cs="Arial"/>
          <w:sz w:val="20"/>
        </w:rPr>
        <w:t xml:space="preserve">payable upon demand or </w:t>
      </w:r>
      <w:r w:rsidR="00AB49CF">
        <w:rPr>
          <w:rFonts w:ascii="Arial" w:hAnsi="Arial" w:cs="Arial"/>
          <w:sz w:val="20"/>
        </w:rPr>
        <w:t xml:space="preserve">will be </w:t>
      </w:r>
      <w:r w:rsidR="00AB49CF" w:rsidRPr="00AB49CF">
        <w:rPr>
          <w:rFonts w:ascii="Arial" w:hAnsi="Arial" w:cs="Arial"/>
          <w:sz w:val="20"/>
        </w:rPr>
        <w:t xml:space="preserve">payable upon demand </w:t>
      </w:r>
      <w:r w:rsidR="00AB49CF">
        <w:rPr>
          <w:rFonts w:ascii="Arial" w:hAnsi="Arial" w:cs="Arial"/>
          <w:sz w:val="20"/>
        </w:rPr>
        <w:t>due to</w:t>
      </w:r>
      <w:r w:rsidR="00AB49CF" w:rsidRPr="00AB49CF">
        <w:rPr>
          <w:rFonts w:ascii="Arial" w:hAnsi="Arial" w:cs="Arial"/>
          <w:sz w:val="20"/>
        </w:rPr>
        <w:t xml:space="preserve"> vesting expected to occur within one year. All other liability awards are</w:t>
      </w:r>
      <w:r w:rsidR="00AB49CF">
        <w:rPr>
          <w:rFonts w:ascii="Arial" w:hAnsi="Arial" w:cs="Arial"/>
          <w:sz w:val="20"/>
        </w:rPr>
        <w:t xml:space="preserve"> </w:t>
      </w:r>
      <w:r w:rsidR="00AB49CF" w:rsidRPr="00AB49CF">
        <w:rPr>
          <w:rFonts w:ascii="Arial" w:hAnsi="Arial" w:cs="Arial"/>
          <w:sz w:val="20"/>
        </w:rPr>
        <w:t>classified as noncurrent.</w:t>
      </w:r>
      <w:r w:rsidR="00F72AFE">
        <w:rPr>
          <w:rFonts w:ascii="Arial" w:hAnsi="Arial" w:cs="Arial"/>
          <w:sz w:val="20"/>
        </w:rPr>
        <w:t xml:space="preserve"> </w:t>
      </w:r>
    </w:p>
    <w:p w14:paraId="242527B2" w14:textId="575689CE" w:rsidR="00CC1D8D" w:rsidRDefault="00CC1D8D" w:rsidP="00B5048D">
      <w:pPr>
        <w:pStyle w:val="ListParagraph"/>
        <w:ind w:left="360"/>
        <w:contextualSpacing/>
        <w:jc w:val="both"/>
        <w:rPr>
          <w:rFonts w:ascii="Arial" w:hAnsi="Arial" w:cs="Arial"/>
          <w:sz w:val="20"/>
        </w:rPr>
      </w:pPr>
    </w:p>
    <w:p w14:paraId="2DF17AFB" w14:textId="1624EC10" w:rsidR="00F72AFE" w:rsidRDefault="00F72AFE" w:rsidP="00B5048D">
      <w:pPr>
        <w:pStyle w:val="ListParagraph"/>
        <w:ind w:left="360"/>
        <w:contextualSpacing/>
        <w:jc w:val="both"/>
        <w:rPr>
          <w:rFonts w:ascii="Arial" w:hAnsi="Arial" w:cs="Arial"/>
          <w:sz w:val="20"/>
        </w:rPr>
      </w:pPr>
      <w:r>
        <w:rPr>
          <w:rFonts w:ascii="Arial" w:hAnsi="Arial" w:cs="Arial"/>
          <w:sz w:val="20"/>
        </w:rPr>
        <w:t>Awards</w:t>
      </w:r>
      <w:r w:rsidRPr="00F72AFE">
        <w:rPr>
          <w:rFonts w:ascii="Arial" w:hAnsi="Arial" w:cs="Arial"/>
          <w:sz w:val="20"/>
        </w:rPr>
        <w:t xml:space="preserve"> with underlying shares that are redeemable at the employee’s discretion after a six-month</w:t>
      </w:r>
      <w:r w:rsidR="008331C9">
        <w:rPr>
          <w:rFonts w:ascii="Arial" w:hAnsi="Arial" w:cs="Arial"/>
          <w:sz w:val="20"/>
        </w:rPr>
        <w:t xml:space="preserve"> </w:t>
      </w:r>
      <w:r w:rsidRPr="00F72AFE">
        <w:rPr>
          <w:rFonts w:ascii="Arial" w:hAnsi="Arial" w:cs="Arial"/>
          <w:sz w:val="20"/>
        </w:rPr>
        <w:t>holding period</w:t>
      </w:r>
      <w:r w:rsidR="00167A13">
        <w:rPr>
          <w:rFonts w:ascii="Arial" w:hAnsi="Arial" w:cs="Arial"/>
          <w:sz w:val="20"/>
        </w:rPr>
        <w:t xml:space="preserve"> </w:t>
      </w:r>
      <w:r w:rsidRPr="00F72AFE">
        <w:rPr>
          <w:rFonts w:ascii="Arial" w:hAnsi="Arial" w:cs="Arial"/>
          <w:sz w:val="20"/>
        </w:rPr>
        <w:t>or based on contingent events</w:t>
      </w:r>
      <w:r w:rsidR="00167A13">
        <w:rPr>
          <w:rFonts w:ascii="Arial" w:hAnsi="Arial" w:cs="Arial"/>
          <w:sz w:val="20"/>
        </w:rPr>
        <w:t xml:space="preserve"> may be classified as temporary equity</w:t>
      </w:r>
      <w:r w:rsidR="008331C9">
        <w:rPr>
          <w:rFonts w:ascii="Arial" w:hAnsi="Arial" w:cs="Arial"/>
          <w:sz w:val="20"/>
        </w:rPr>
        <w:t>. T</w:t>
      </w:r>
      <w:r w:rsidR="00167A13">
        <w:rPr>
          <w:rFonts w:ascii="Arial" w:hAnsi="Arial" w:cs="Arial"/>
          <w:sz w:val="20"/>
        </w:rPr>
        <w:t xml:space="preserve">echnical </w:t>
      </w:r>
      <w:r w:rsidR="00171277">
        <w:rPr>
          <w:rFonts w:ascii="Arial" w:hAnsi="Arial" w:cs="Arial"/>
          <w:sz w:val="20"/>
        </w:rPr>
        <w:t>a</w:t>
      </w:r>
      <w:r w:rsidR="00167A13">
        <w:rPr>
          <w:rFonts w:ascii="Arial" w:hAnsi="Arial" w:cs="Arial"/>
          <w:sz w:val="20"/>
        </w:rPr>
        <w:t xml:space="preserve">ccounting </w:t>
      </w:r>
      <w:r w:rsidR="008331C9">
        <w:rPr>
          <w:rFonts w:ascii="Arial" w:hAnsi="Arial" w:cs="Arial"/>
          <w:sz w:val="20"/>
        </w:rPr>
        <w:t>s</w:t>
      </w:r>
      <w:r w:rsidR="00167A13">
        <w:rPr>
          <w:rFonts w:ascii="Arial" w:hAnsi="Arial" w:cs="Arial"/>
          <w:sz w:val="20"/>
        </w:rPr>
        <w:t>hould be consulted.</w:t>
      </w:r>
    </w:p>
    <w:p w14:paraId="2180E267" w14:textId="6F1F8123" w:rsidR="008E732B" w:rsidRDefault="008E732B" w:rsidP="008E732B">
      <w:pPr>
        <w:pStyle w:val="ListParagraph"/>
        <w:ind w:left="360"/>
        <w:contextualSpacing/>
        <w:jc w:val="both"/>
        <w:rPr>
          <w:rFonts w:ascii="Arial" w:hAnsi="Arial" w:cs="Arial"/>
          <w:sz w:val="20"/>
        </w:rPr>
      </w:pPr>
    </w:p>
    <w:p w14:paraId="61DEF0EC" w14:textId="77777777" w:rsidR="00DA1685" w:rsidRDefault="008E732B" w:rsidP="008E732B">
      <w:pPr>
        <w:pStyle w:val="ListParagraph"/>
        <w:ind w:left="360"/>
        <w:contextualSpacing/>
        <w:jc w:val="both"/>
        <w:rPr>
          <w:rFonts w:ascii="Arial" w:hAnsi="Arial" w:cs="Arial"/>
          <w:sz w:val="20"/>
          <w:szCs w:val="20"/>
        </w:rPr>
      </w:pPr>
      <w:bookmarkStart w:id="94" w:name="_Hlk155175167"/>
      <w:r>
        <w:rPr>
          <w:rFonts w:ascii="Arial" w:hAnsi="Arial" w:cs="Arial"/>
          <w:sz w:val="20"/>
          <w:szCs w:val="20"/>
        </w:rPr>
        <w:t xml:space="preserve">The Company also operates an </w:t>
      </w:r>
      <w:r w:rsidRPr="00DA1685">
        <w:rPr>
          <w:rFonts w:ascii="Arial" w:hAnsi="Arial" w:cs="Arial"/>
          <w:sz w:val="20"/>
          <w:szCs w:val="20"/>
          <w:u w:val="single"/>
        </w:rPr>
        <w:t>Employee Stock Purchas Plan (ESPP)</w:t>
      </w:r>
      <w:r>
        <w:rPr>
          <w:rFonts w:ascii="Arial" w:hAnsi="Arial" w:cs="Arial"/>
          <w:sz w:val="20"/>
          <w:szCs w:val="20"/>
        </w:rPr>
        <w:t xml:space="preserve"> that provides for the issuance of shares of the Company’s common stock to eligible employees that elect to participate in the plan and purchase shares of common stock through payroll deductions. During each enrollment period, eligible employees may designate between 1% and 15% of their compensation to be deducted for the purchase of common stock under the plan. The purchase price of the shares is equal to 85% of the fair market value on the first day of the offering period or, if lower, on the last day of the offering period. </w:t>
      </w:r>
    </w:p>
    <w:p w14:paraId="6F906F10" w14:textId="77777777" w:rsidR="00DA1685" w:rsidRDefault="00DA1685" w:rsidP="008E732B">
      <w:pPr>
        <w:pStyle w:val="ListParagraph"/>
        <w:ind w:left="360"/>
        <w:contextualSpacing/>
        <w:jc w:val="both"/>
        <w:rPr>
          <w:rFonts w:ascii="Arial" w:hAnsi="Arial" w:cs="Arial"/>
          <w:sz w:val="20"/>
          <w:szCs w:val="20"/>
        </w:rPr>
      </w:pPr>
    </w:p>
    <w:p w14:paraId="33421CD1" w14:textId="4CD702BA" w:rsidR="008E732B" w:rsidRPr="00D5529F" w:rsidRDefault="008E732B" w:rsidP="008E732B">
      <w:pPr>
        <w:pStyle w:val="ListParagraph"/>
        <w:ind w:left="360"/>
        <w:contextualSpacing/>
        <w:jc w:val="both"/>
        <w:rPr>
          <w:rFonts w:ascii="Arial" w:hAnsi="Arial" w:cs="Arial"/>
          <w:sz w:val="20"/>
          <w:szCs w:val="20"/>
        </w:rPr>
      </w:pPr>
      <w:r>
        <w:rPr>
          <w:rFonts w:ascii="Arial" w:hAnsi="Arial" w:cs="Arial"/>
          <w:sz w:val="20"/>
          <w:szCs w:val="20"/>
        </w:rPr>
        <w:t xml:space="preserve">The ESPP is an equity-classified plan with the fair value of the awards based on the enrollment date (grant date). Equity-based compensation expense will be recognized over the offering period. Forfeitures will be recognized as incurred. </w:t>
      </w:r>
      <w:r w:rsidRPr="008E732B">
        <w:rPr>
          <w:rFonts w:ascii="Arial" w:hAnsi="Arial" w:cs="Arial"/>
          <w:sz w:val="20"/>
          <w:szCs w:val="20"/>
        </w:rPr>
        <w:t xml:space="preserve">Forfeitures are only recognized for awards in which the requisite service period is not met (i.e., the employee is no longer an employee of the Company as of the Purchase Date). Reductions and withdrawals by an employee do not </w:t>
      </w:r>
      <w:proofErr w:type="gramStart"/>
      <w:r w:rsidRPr="008E732B">
        <w:rPr>
          <w:rFonts w:ascii="Arial" w:hAnsi="Arial" w:cs="Arial"/>
          <w:sz w:val="20"/>
          <w:szCs w:val="20"/>
        </w:rPr>
        <w:t>impact</w:t>
      </w:r>
      <w:proofErr w:type="gramEnd"/>
      <w:r w:rsidRPr="008E732B">
        <w:rPr>
          <w:rFonts w:ascii="Arial" w:hAnsi="Arial" w:cs="Arial"/>
          <w:sz w:val="20"/>
          <w:szCs w:val="20"/>
        </w:rPr>
        <w:t xml:space="preserve"> the </w:t>
      </w:r>
      <w:r>
        <w:rPr>
          <w:rFonts w:ascii="Arial" w:hAnsi="Arial" w:cs="Arial"/>
          <w:sz w:val="20"/>
          <w:szCs w:val="20"/>
        </w:rPr>
        <w:t>equity</w:t>
      </w:r>
      <w:r w:rsidRPr="008E732B">
        <w:rPr>
          <w:rFonts w:ascii="Arial" w:hAnsi="Arial" w:cs="Arial"/>
          <w:sz w:val="20"/>
          <w:szCs w:val="20"/>
        </w:rPr>
        <w:t xml:space="preserve">-based compensation expense recognized </w:t>
      </w:r>
      <w:proofErr w:type="gramStart"/>
      <w:r w:rsidRPr="008E732B">
        <w:rPr>
          <w:rFonts w:ascii="Arial" w:hAnsi="Arial" w:cs="Arial"/>
          <w:sz w:val="20"/>
          <w:szCs w:val="20"/>
        </w:rPr>
        <w:t>as long as</w:t>
      </w:r>
      <w:proofErr w:type="gramEnd"/>
      <w:r w:rsidRPr="008E732B">
        <w:rPr>
          <w:rFonts w:ascii="Arial" w:hAnsi="Arial" w:cs="Arial"/>
          <w:sz w:val="20"/>
          <w:szCs w:val="20"/>
        </w:rPr>
        <w:t xml:space="preserve"> the employee remains employed by the Company</w:t>
      </w:r>
      <w:r>
        <w:rPr>
          <w:rFonts w:ascii="Arial" w:hAnsi="Arial" w:cs="Arial"/>
          <w:sz w:val="20"/>
          <w:szCs w:val="20"/>
        </w:rPr>
        <w:t xml:space="preserve">. </w:t>
      </w:r>
      <w:r w:rsidRPr="00D5529F">
        <w:rPr>
          <w:rFonts w:ascii="Arial" w:hAnsi="Arial" w:cs="Arial"/>
          <w:sz w:val="20"/>
          <w:szCs w:val="20"/>
        </w:rPr>
        <w:t>Amounts withheld from the employee’s payroll under the ESPP are recorded as a current liability until the purchase of the shares is made. When the purchase is made, the amount used for the purchase of shares is reclassified from the current liability to Class A common stock and additional paid in capital</w:t>
      </w:r>
      <w:r>
        <w:rPr>
          <w:rFonts w:ascii="Arial" w:hAnsi="Arial" w:cs="Arial"/>
          <w:sz w:val="20"/>
          <w:szCs w:val="20"/>
        </w:rPr>
        <w:t>.</w:t>
      </w:r>
    </w:p>
    <w:bookmarkEnd w:id="94"/>
    <w:p w14:paraId="1C283D1A" w14:textId="77777777" w:rsidR="00DF7DFD" w:rsidRDefault="00DF7DFD" w:rsidP="008E732B">
      <w:pPr>
        <w:pStyle w:val="ListParagraph"/>
        <w:spacing w:line="0" w:lineRule="atLeast"/>
        <w:ind w:left="1020"/>
        <w:contextualSpacing/>
        <w:jc w:val="both"/>
        <w:rPr>
          <w:rFonts w:ascii="Arial" w:hAnsi="Arial" w:cs="Arial"/>
          <w:sz w:val="20"/>
        </w:rPr>
      </w:pPr>
    </w:p>
    <w:p w14:paraId="4EBCC37E" w14:textId="77777777" w:rsidR="00DF7DFD" w:rsidRDefault="00F62BB8" w:rsidP="00B5048D">
      <w:pPr>
        <w:ind w:left="360"/>
        <w:jc w:val="both"/>
        <w:rPr>
          <w:rFonts w:ascii="Century Gothic" w:hAnsi="Century Gothic" w:cs="Arial"/>
          <w:b/>
          <w:sz w:val="20"/>
        </w:rPr>
      </w:pPr>
      <w:r>
        <w:rPr>
          <w:rFonts w:ascii="Century Gothic" w:hAnsi="Century Gothic" w:cs="Arial"/>
          <w:b/>
          <w:sz w:val="20"/>
        </w:rPr>
        <w:t xml:space="preserve">23.6 </w:t>
      </w:r>
      <w:bookmarkStart w:id="95" w:name="RentEXP"/>
      <w:r>
        <w:rPr>
          <w:rFonts w:ascii="Century Gothic" w:hAnsi="Century Gothic" w:cs="Arial"/>
          <w:b/>
          <w:sz w:val="20"/>
        </w:rPr>
        <w:t>Rent Expense</w:t>
      </w:r>
      <w:bookmarkEnd w:id="95"/>
    </w:p>
    <w:p w14:paraId="6B1D1937" w14:textId="5821CFCE" w:rsidR="00DF7DFD" w:rsidRPr="008F27F7" w:rsidRDefault="00F62BB8" w:rsidP="00B5048D">
      <w:pPr>
        <w:pStyle w:val="ListParagraph"/>
        <w:spacing w:line="0" w:lineRule="atLeast"/>
        <w:ind w:left="360"/>
        <w:contextualSpacing/>
        <w:jc w:val="both"/>
        <w:rPr>
          <w:i/>
          <w:u w:val="single"/>
        </w:rPr>
      </w:pPr>
      <w:r>
        <w:rPr>
          <w:rFonts w:ascii="Arial" w:hAnsi="Arial" w:cs="Arial"/>
          <w:sz w:val="20"/>
        </w:rPr>
        <w:t xml:space="preserve">Rent shall be charged to expense on a straight-line basis unless another basis is more representative of the time pattern in which space or asset is in use. </w:t>
      </w:r>
      <w:r w:rsidR="00143FE5" w:rsidRPr="008F27F7">
        <w:rPr>
          <w:rFonts w:ascii="Arial" w:hAnsi="Arial" w:cs="Arial"/>
          <w:i/>
          <w:sz w:val="20"/>
          <w:u w:val="single"/>
        </w:rPr>
        <w:t xml:space="preserve">Refer to the separate Bioventus Global Lease Accounting Policy on </w:t>
      </w:r>
      <w:proofErr w:type="spellStart"/>
      <w:r w:rsidR="00143FE5" w:rsidRPr="008F27F7">
        <w:rPr>
          <w:rFonts w:ascii="Arial" w:hAnsi="Arial" w:cs="Arial"/>
          <w:i/>
          <w:sz w:val="20"/>
          <w:u w:val="single"/>
        </w:rPr>
        <w:t>Bionet</w:t>
      </w:r>
      <w:proofErr w:type="spellEnd"/>
      <w:r w:rsidR="00143FE5" w:rsidRPr="008F27F7">
        <w:rPr>
          <w:rFonts w:ascii="Arial" w:hAnsi="Arial" w:cs="Arial"/>
          <w:i/>
          <w:sz w:val="20"/>
          <w:u w:val="single"/>
        </w:rPr>
        <w:t xml:space="preserve"> for further details.</w:t>
      </w:r>
    </w:p>
    <w:p w14:paraId="565D4BFD" w14:textId="77777777" w:rsidR="00DF7DFD" w:rsidRDefault="00DF7DFD" w:rsidP="00B5048D">
      <w:pPr>
        <w:spacing w:line="0" w:lineRule="atLeast"/>
        <w:ind w:left="1080"/>
        <w:jc w:val="both"/>
        <w:rPr>
          <w:rFonts w:ascii="Arial" w:hAnsi="Arial" w:cs="Arial"/>
          <w:sz w:val="20"/>
        </w:rPr>
      </w:pPr>
    </w:p>
    <w:p w14:paraId="5439103C" w14:textId="77777777" w:rsidR="00DF7DFD" w:rsidRDefault="00F62BB8" w:rsidP="00B5048D">
      <w:pPr>
        <w:ind w:left="360"/>
        <w:jc w:val="both"/>
        <w:rPr>
          <w:rFonts w:ascii="Century Gothic" w:hAnsi="Century Gothic" w:cs="Arial"/>
          <w:b/>
          <w:sz w:val="20"/>
        </w:rPr>
      </w:pPr>
      <w:r>
        <w:rPr>
          <w:rFonts w:ascii="Century Gothic" w:hAnsi="Century Gothic" w:cs="Arial"/>
          <w:b/>
          <w:sz w:val="20"/>
        </w:rPr>
        <w:t xml:space="preserve">23.7 </w:t>
      </w:r>
      <w:bookmarkStart w:id="96" w:name="OperTaxes"/>
      <w:r>
        <w:rPr>
          <w:rFonts w:ascii="Century Gothic" w:hAnsi="Century Gothic" w:cs="Arial"/>
          <w:b/>
          <w:sz w:val="20"/>
        </w:rPr>
        <w:t>Operating Taxes</w:t>
      </w:r>
      <w:bookmarkEnd w:id="96"/>
    </w:p>
    <w:p w14:paraId="2C30BA25" w14:textId="77777777" w:rsidR="00DF7DFD" w:rsidRPr="001364A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Operating taxes are those that are not income or </w:t>
      </w:r>
      <w:proofErr w:type="gramStart"/>
      <w:r>
        <w:rPr>
          <w:rFonts w:ascii="Arial" w:hAnsi="Arial" w:cs="Arial"/>
          <w:sz w:val="20"/>
        </w:rPr>
        <w:t>payroll related</w:t>
      </w:r>
      <w:proofErr w:type="gramEnd"/>
      <w:r>
        <w:rPr>
          <w:rFonts w:ascii="Arial" w:hAnsi="Arial" w:cs="Arial"/>
          <w:sz w:val="20"/>
        </w:rPr>
        <w:t xml:space="preserve"> taxes and are reported as </w:t>
      </w:r>
      <w:r w:rsidRPr="001364AD">
        <w:rPr>
          <w:rFonts w:ascii="Arial" w:hAnsi="Arial" w:cs="Arial"/>
          <w:sz w:val="20"/>
        </w:rPr>
        <w:t>SG&amp;A.  These taxes are to be expensed in the reporting period incurred and include the following:</w:t>
      </w:r>
    </w:p>
    <w:p w14:paraId="6461E9F1" w14:textId="3E91DD0D" w:rsidR="00DF7DFD" w:rsidRPr="001364AD" w:rsidRDefault="00F62BB8" w:rsidP="00B5048D">
      <w:pPr>
        <w:pStyle w:val="ListParagraph"/>
        <w:numPr>
          <w:ilvl w:val="0"/>
          <w:numId w:val="22"/>
        </w:numPr>
        <w:spacing w:line="0" w:lineRule="atLeast"/>
        <w:contextualSpacing/>
        <w:jc w:val="both"/>
        <w:rPr>
          <w:rFonts w:ascii="Arial" w:hAnsi="Arial" w:cs="Arial"/>
          <w:sz w:val="20"/>
        </w:rPr>
      </w:pPr>
      <w:r w:rsidRPr="001364AD">
        <w:rPr>
          <w:rFonts w:ascii="Arial" w:hAnsi="Arial" w:cs="Arial"/>
          <w:sz w:val="20"/>
        </w:rPr>
        <w:t>Medical Device Excise Tax (if reinstated), Franchise and local (non</w:t>
      </w:r>
      <w:r w:rsidR="008611AF" w:rsidRPr="001364AD">
        <w:rPr>
          <w:rFonts w:ascii="Arial" w:hAnsi="Arial" w:cs="Arial"/>
          <w:sz w:val="20"/>
        </w:rPr>
        <w:t>-</w:t>
      </w:r>
      <w:r w:rsidRPr="001364AD">
        <w:rPr>
          <w:rFonts w:ascii="Arial" w:hAnsi="Arial" w:cs="Arial"/>
          <w:sz w:val="20"/>
        </w:rPr>
        <w:t>income based) tax (</w:t>
      </w:r>
      <w:r w:rsidR="00C55DA8" w:rsidRPr="001364AD">
        <w:rPr>
          <w:rFonts w:ascii="Arial" w:hAnsi="Arial" w:cs="Arial"/>
          <w:sz w:val="20"/>
        </w:rPr>
        <w:t xml:space="preserve">G/L account </w:t>
      </w:r>
      <w:r w:rsidR="00C55DA8" w:rsidRPr="001364AD">
        <w:rPr>
          <w:rFonts w:ascii="Arial" w:hAnsi="Arial"/>
          <w:sz w:val="20"/>
        </w:rPr>
        <w:t>6</w:t>
      </w:r>
      <w:r w:rsidRPr="001364AD">
        <w:rPr>
          <w:rFonts w:ascii="Arial" w:hAnsi="Arial"/>
          <w:sz w:val="20"/>
        </w:rPr>
        <w:t>55600</w:t>
      </w:r>
      <w:r w:rsidRPr="001364AD">
        <w:rPr>
          <w:rFonts w:ascii="Arial" w:hAnsi="Arial" w:cs="Arial"/>
          <w:sz w:val="20"/>
        </w:rPr>
        <w:t>)</w:t>
      </w:r>
    </w:p>
    <w:p w14:paraId="1B58ADDA" w14:textId="54941154" w:rsidR="00DF7DFD" w:rsidRPr="001364AD" w:rsidRDefault="00F62BB8" w:rsidP="00B5048D">
      <w:pPr>
        <w:numPr>
          <w:ilvl w:val="0"/>
          <w:numId w:val="22"/>
        </w:numPr>
        <w:spacing w:line="0" w:lineRule="atLeast"/>
        <w:jc w:val="both"/>
        <w:rPr>
          <w:rFonts w:ascii="Arial" w:hAnsi="Arial" w:cs="Arial"/>
          <w:sz w:val="20"/>
        </w:rPr>
      </w:pPr>
      <w:r w:rsidRPr="001364AD">
        <w:rPr>
          <w:rFonts w:ascii="Arial" w:hAnsi="Arial" w:cs="Arial"/>
          <w:sz w:val="20"/>
        </w:rPr>
        <w:t xml:space="preserve">Property tax (should be estimated and accrued monthly using </w:t>
      </w:r>
      <w:r w:rsidR="00C55DA8" w:rsidRPr="001364AD">
        <w:rPr>
          <w:rFonts w:ascii="Arial" w:hAnsi="Arial" w:cs="Arial"/>
          <w:sz w:val="20"/>
        </w:rPr>
        <w:t xml:space="preserve">G/L account </w:t>
      </w:r>
      <w:r w:rsidR="00C55DA8" w:rsidRPr="001364AD">
        <w:rPr>
          <w:rFonts w:ascii="Arial" w:hAnsi="Arial"/>
          <w:sz w:val="20"/>
        </w:rPr>
        <w:t>6</w:t>
      </w:r>
      <w:r w:rsidRPr="001364AD">
        <w:rPr>
          <w:rFonts w:ascii="Arial" w:hAnsi="Arial"/>
          <w:sz w:val="20"/>
        </w:rPr>
        <w:t>55800</w:t>
      </w:r>
      <w:r w:rsidRPr="001364AD">
        <w:rPr>
          <w:rFonts w:ascii="Arial" w:hAnsi="Arial" w:cs="Arial"/>
          <w:sz w:val="20"/>
        </w:rPr>
        <w:t>)</w:t>
      </w:r>
    </w:p>
    <w:p w14:paraId="34123BDE" w14:textId="2524D6EF" w:rsidR="00DF7DFD" w:rsidRPr="001364AD" w:rsidRDefault="00F62BB8" w:rsidP="00B5048D">
      <w:pPr>
        <w:numPr>
          <w:ilvl w:val="0"/>
          <w:numId w:val="22"/>
        </w:numPr>
        <w:spacing w:line="0" w:lineRule="atLeast"/>
        <w:jc w:val="both"/>
        <w:rPr>
          <w:rFonts w:ascii="Arial" w:hAnsi="Arial" w:cs="Arial"/>
          <w:sz w:val="20"/>
        </w:rPr>
      </w:pPr>
      <w:r w:rsidRPr="001364AD">
        <w:rPr>
          <w:rFonts w:ascii="Arial" w:hAnsi="Arial" w:cs="Arial"/>
          <w:sz w:val="20"/>
        </w:rPr>
        <w:t>Sales and Use tax (</w:t>
      </w:r>
      <w:r w:rsidR="00C55DA8" w:rsidRPr="001364AD">
        <w:rPr>
          <w:rFonts w:ascii="Arial" w:hAnsi="Arial" w:cs="Arial"/>
          <w:sz w:val="20"/>
        </w:rPr>
        <w:t xml:space="preserve">G/L account </w:t>
      </w:r>
      <w:r w:rsidR="00C55DA8" w:rsidRPr="001364AD">
        <w:rPr>
          <w:rFonts w:ascii="Arial" w:hAnsi="Arial"/>
          <w:sz w:val="20"/>
        </w:rPr>
        <w:t>6</w:t>
      </w:r>
      <w:r w:rsidRPr="001364AD">
        <w:rPr>
          <w:rFonts w:ascii="Arial" w:hAnsi="Arial"/>
          <w:sz w:val="20"/>
        </w:rPr>
        <w:t>31001</w:t>
      </w:r>
      <w:r w:rsidRPr="001364AD">
        <w:rPr>
          <w:rFonts w:ascii="Arial" w:hAnsi="Arial" w:cs="Arial"/>
          <w:sz w:val="20"/>
        </w:rPr>
        <w:t>)</w:t>
      </w:r>
    </w:p>
    <w:p w14:paraId="3A8F8BEA" w14:textId="399B6335" w:rsidR="00DF7DFD" w:rsidRPr="001364AD" w:rsidRDefault="00F62BB8" w:rsidP="00B5048D">
      <w:pPr>
        <w:numPr>
          <w:ilvl w:val="0"/>
          <w:numId w:val="22"/>
        </w:numPr>
        <w:spacing w:line="0" w:lineRule="atLeast"/>
        <w:jc w:val="both"/>
        <w:rPr>
          <w:rFonts w:ascii="Arial" w:hAnsi="Arial" w:cs="Arial"/>
          <w:sz w:val="20"/>
        </w:rPr>
      </w:pPr>
      <w:r w:rsidRPr="001364AD">
        <w:rPr>
          <w:rFonts w:ascii="Arial" w:hAnsi="Arial" w:cs="Arial"/>
          <w:sz w:val="20"/>
        </w:rPr>
        <w:t>Other operating taxes that will not be reimbursed (</w:t>
      </w:r>
      <w:r w:rsidR="00C55DA8" w:rsidRPr="001364AD">
        <w:rPr>
          <w:rFonts w:ascii="Arial" w:hAnsi="Arial" w:cs="Arial"/>
          <w:sz w:val="20"/>
        </w:rPr>
        <w:t xml:space="preserve">G/L account </w:t>
      </w:r>
      <w:r w:rsidR="00C55DA8" w:rsidRPr="001364AD">
        <w:rPr>
          <w:rFonts w:ascii="Arial" w:hAnsi="Arial"/>
          <w:sz w:val="20"/>
        </w:rPr>
        <w:t>6</w:t>
      </w:r>
      <w:r w:rsidRPr="001364AD">
        <w:rPr>
          <w:rFonts w:ascii="Arial" w:hAnsi="Arial"/>
          <w:sz w:val="20"/>
        </w:rPr>
        <w:t>55600</w:t>
      </w:r>
      <w:r w:rsidRPr="001364AD">
        <w:rPr>
          <w:rFonts w:ascii="Arial" w:hAnsi="Arial" w:cs="Arial"/>
          <w:sz w:val="20"/>
        </w:rPr>
        <w:t>)</w:t>
      </w:r>
    </w:p>
    <w:p w14:paraId="2FF768CD" w14:textId="77777777" w:rsidR="00DF7DFD" w:rsidRPr="001364AD" w:rsidRDefault="00DF7DFD" w:rsidP="00B5048D">
      <w:pPr>
        <w:spacing w:line="0" w:lineRule="atLeast"/>
        <w:ind w:left="1080"/>
        <w:jc w:val="both"/>
        <w:rPr>
          <w:rFonts w:ascii="Arial" w:hAnsi="Arial" w:cs="Arial"/>
          <w:sz w:val="20"/>
        </w:rPr>
      </w:pPr>
    </w:p>
    <w:p w14:paraId="417C3D51" w14:textId="77777777" w:rsidR="00DF7DFD" w:rsidRPr="001364AD" w:rsidRDefault="00F62BB8" w:rsidP="00B5048D">
      <w:pPr>
        <w:ind w:left="360"/>
        <w:jc w:val="both"/>
        <w:rPr>
          <w:rFonts w:ascii="Century Gothic" w:hAnsi="Century Gothic" w:cs="Arial"/>
          <w:b/>
          <w:sz w:val="20"/>
        </w:rPr>
      </w:pPr>
      <w:r w:rsidRPr="001364AD">
        <w:rPr>
          <w:rFonts w:ascii="Century Gothic" w:hAnsi="Century Gothic" w:cs="Arial"/>
          <w:b/>
          <w:sz w:val="20"/>
        </w:rPr>
        <w:t xml:space="preserve">23.8 </w:t>
      </w:r>
      <w:bookmarkStart w:id="97" w:name="Advertising"/>
      <w:r w:rsidRPr="001364AD">
        <w:rPr>
          <w:rFonts w:ascii="Century Gothic" w:hAnsi="Century Gothic" w:cs="Arial"/>
          <w:b/>
          <w:sz w:val="20"/>
        </w:rPr>
        <w:t>Advertising Costs</w:t>
      </w:r>
      <w:bookmarkEnd w:id="97"/>
    </w:p>
    <w:p w14:paraId="564912C8" w14:textId="5861DE2F" w:rsidR="00DF7DFD" w:rsidRDefault="00F62BB8" w:rsidP="00B5048D">
      <w:pPr>
        <w:pStyle w:val="ListParagraph"/>
        <w:spacing w:line="0" w:lineRule="atLeast"/>
        <w:ind w:left="360"/>
        <w:contextualSpacing/>
        <w:jc w:val="both"/>
        <w:rPr>
          <w:rFonts w:ascii="Arial" w:hAnsi="Arial" w:cs="Arial"/>
          <w:sz w:val="20"/>
        </w:rPr>
      </w:pPr>
      <w:r w:rsidRPr="001364AD">
        <w:rPr>
          <w:rFonts w:ascii="Arial" w:hAnsi="Arial" w:cs="Arial"/>
          <w:sz w:val="20"/>
        </w:rPr>
        <w:t>The costs of advertising must be expensed in the reporting period incurred (</w:t>
      </w:r>
      <w:r w:rsidR="00C55DA8" w:rsidRPr="001364AD">
        <w:rPr>
          <w:rFonts w:ascii="Arial" w:hAnsi="Arial" w:cs="Arial"/>
          <w:sz w:val="20"/>
        </w:rPr>
        <w:t xml:space="preserve">G/L account </w:t>
      </w:r>
      <w:r w:rsidR="00C55DA8" w:rsidRPr="001364AD">
        <w:rPr>
          <w:rFonts w:ascii="Arial" w:hAnsi="Arial"/>
          <w:sz w:val="20"/>
        </w:rPr>
        <w:t>6</w:t>
      </w:r>
      <w:r w:rsidRPr="001364AD">
        <w:rPr>
          <w:rFonts w:ascii="Arial" w:hAnsi="Arial"/>
          <w:sz w:val="20"/>
        </w:rPr>
        <w:t>55025</w:t>
      </w:r>
      <w:r w:rsidRPr="001364AD">
        <w:rPr>
          <w:rFonts w:ascii="Arial" w:hAnsi="Arial" w:cs="Arial"/>
          <w:sz w:val="20"/>
        </w:rPr>
        <w:t xml:space="preserve"> or</w:t>
      </w:r>
      <w:r>
        <w:rPr>
          <w:rFonts w:ascii="Arial" w:hAnsi="Arial" w:cs="Arial"/>
          <w:sz w:val="20"/>
        </w:rPr>
        <w:t xml:space="preserve"> 655030).</w:t>
      </w:r>
    </w:p>
    <w:p w14:paraId="4C627200" w14:textId="77777777" w:rsidR="00DF7DFD" w:rsidRDefault="00DF7DFD" w:rsidP="00B5048D">
      <w:pPr>
        <w:pStyle w:val="ListParagraph"/>
        <w:spacing w:line="0" w:lineRule="atLeast"/>
        <w:ind w:left="1020"/>
        <w:contextualSpacing/>
        <w:jc w:val="both"/>
        <w:rPr>
          <w:rFonts w:ascii="Arial" w:hAnsi="Arial" w:cs="Arial"/>
          <w:sz w:val="20"/>
        </w:rPr>
      </w:pPr>
    </w:p>
    <w:p w14:paraId="77BC40B0"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98" w:name="_Research_and_Development"/>
      <w:bookmarkEnd w:id="98"/>
      <w:r>
        <w:rPr>
          <w:rFonts w:ascii="Century Gothic" w:hAnsi="Century Gothic" w:cs="Arial"/>
          <w:bCs w:val="0"/>
          <w:sz w:val="20"/>
        </w:rPr>
        <w:t>Research and Development</w:t>
      </w:r>
    </w:p>
    <w:p w14:paraId="0C0AA636" w14:textId="401932E6"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Internal R&amp;D costs are expensed as incurred.   R&amp;D costs incurred by third parties are expensed as the contracted work is performed.</w:t>
      </w:r>
      <w:r w:rsidR="00406F82">
        <w:rPr>
          <w:rFonts w:ascii="Arial" w:hAnsi="Arial" w:cs="Arial"/>
          <w:sz w:val="20"/>
        </w:rPr>
        <w:t xml:space="preserve"> D</w:t>
      </w:r>
      <w:r w:rsidR="00406F82" w:rsidRPr="00406F82">
        <w:rPr>
          <w:rFonts w:ascii="Arial" w:hAnsi="Arial" w:cs="Arial"/>
          <w:sz w:val="20"/>
        </w:rPr>
        <w:t>epreciation of capitalized equipment or facilities</w:t>
      </w:r>
      <w:r w:rsidR="00406F82">
        <w:rPr>
          <w:rFonts w:ascii="Arial" w:hAnsi="Arial" w:cs="Arial"/>
          <w:sz w:val="20"/>
        </w:rPr>
        <w:t xml:space="preserve"> </w:t>
      </w:r>
      <w:r w:rsidR="00406F82" w:rsidRPr="00406F82">
        <w:rPr>
          <w:rFonts w:ascii="Arial" w:hAnsi="Arial" w:cs="Arial"/>
          <w:sz w:val="20"/>
        </w:rPr>
        <w:t xml:space="preserve">that are acquired or constructed for </w:t>
      </w:r>
      <w:r w:rsidR="00406F82">
        <w:rPr>
          <w:rFonts w:ascii="Arial" w:hAnsi="Arial" w:cs="Arial"/>
          <w:sz w:val="20"/>
        </w:rPr>
        <w:t>R&amp;D</w:t>
      </w:r>
      <w:r w:rsidR="00406F82" w:rsidRPr="00406F82">
        <w:rPr>
          <w:rFonts w:ascii="Arial" w:hAnsi="Arial" w:cs="Arial"/>
          <w:sz w:val="20"/>
        </w:rPr>
        <w:t xml:space="preserve"> activities should be considered</w:t>
      </w:r>
      <w:r w:rsidR="00406F82">
        <w:rPr>
          <w:rFonts w:ascii="Arial" w:hAnsi="Arial" w:cs="Arial"/>
          <w:sz w:val="20"/>
        </w:rPr>
        <w:t xml:space="preserve"> </w:t>
      </w:r>
      <w:r w:rsidR="00406F82" w:rsidRPr="00406F82">
        <w:rPr>
          <w:rFonts w:ascii="Arial" w:hAnsi="Arial" w:cs="Arial"/>
          <w:sz w:val="20"/>
        </w:rPr>
        <w:t>research and development costs.</w:t>
      </w:r>
      <w:r w:rsidR="00406F82">
        <w:rPr>
          <w:rFonts w:ascii="Arial" w:hAnsi="Arial" w:cs="Arial"/>
          <w:sz w:val="20"/>
        </w:rPr>
        <w:t xml:space="preserve">  </w:t>
      </w:r>
      <w:r w:rsidR="00406F82" w:rsidRPr="00406F82">
        <w:rPr>
          <w:rFonts w:ascii="Arial" w:hAnsi="Arial" w:cs="Arial"/>
          <w:sz w:val="20"/>
        </w:rPr>
        <w:t xml:space="preserve">Impairment of </w:t>
      </w:r>
      <w:r w:rsidR="00406F82">
        <w:rPr>
          <w:rFonts w:ascii="Arial" w:hAnsi="Arial" w:cs="Arial"/>
          <w:sz w:val="20"/>
        </w:rPr>
        <w:t>IPR&amp;D</w:t>
      </w:r>
      <w:r w:rsidR="00406F82" w:rsidRPr="00406F82">
        <w:rPr>
          <w:rFonts w:ascii="Arial" w:hAnsi="Arial" w:cs="Arial"/>
          <w:sz w:val="20"/>
        </w:rPr>
        <w:t xml:space="preserve"> costs initially capitalized as part of a business</w:t>
      </w:r>
      <w:r w:rsidR="00406F82">
        <w:rPr>
          <w:rFonts w:ascii="Arial" w:hAnsi="Arial" w:cs="Arial"/>
          <w:sz w:val="20"/>
        </w:rPr>
        <w:t xml:space="preserve"> </w:t>
      </w:r>
      <w:r w:rsidR="00406F82" w:rsidRPr="00406F82">
        <w:rPr>
          <w:rFonts w:ascii="Arial" w:hAnsi="Arial" w:cs="Arial"/>
          <w:sz w:val="20"/>
        </w:rPr>
        <w:t xml:space="preserve">combination should also be classified in the </w:t>
      </w:r>
      <w:r w:rsidR="00406F82">
        <w:rPr>
          <w:rFonts w:ascii="Arial" w:hAnsi="Arial" w:cs="Arial"/>
          <w:sz w:val="20"/>
        </w:rPr>
        <w:t>R&amp;D</w:t>
      </w:r>
      <w:r w:rsidR="00406F82" w:rsidRPr="00406F82">
        <w:rPr>
          <w:rFonts w:ascii="Arial" w:hAnsi="Arial" w:cs="Arial"/>
          <w:sz w:val="20"/>
        </w:rPr>
        <w:t xml:space="preserve"> expense line.</w:t>
      </w:r>
    </w:p>
    <w:p w14:paraId="2942FCC0" w14:textId="09E7102B" w:rsidR="00406F82" w:rsidRDefault="00406F82" w:rsidP="00B5048D">
      <w:pPr>
        <w:pStyle w:val="ListParagraph"/>
        <w:spacing w:line="0" w:lineRule="atLeast"/>
        <w:ind w:left="360"/>
        <w:contextualSpacing/>
        <w:jc w:val="both"/>
        <w:rPr>
          <w:rFonts w:ascii="Arial" w:hAnsi="Arial" w:cs="Arial"/>
          <w:sz w:val="20"/>
        </w:rPr>
      </w:pPr>
    </w:p>
    <w:p w14:paraId="006400DD" w14:textId="08038A63" w:rsidR="00406F82" w:rsidRDefault="00406F82" w:rsidP="00B5048D">
      <w:pPr>
        <w:pStyle w:val="ListParagraph"/>
        <w:spacing w:line="0" w:lineRule="atLeast"/>
        <w:ind w:left="360"/>
        <w:contextualSpacing/>
        <w:jc w:val="both"/>
        <w:rPr>
          <w:rFonts w:ascii="Arial" w:hAnsi="Arial" w:cs="Arial"/>
          <w:sz w:val="20"/>
        </w:rPr>
      </w:pPr>
      <w:r>
        <w:rPr>
          <w:rFonts w:ascii="Arial" w:hAnsi="Arial" w:cs="Arial"/>
          <w:sz w:val="20"/>
        </w:rPr>
        <w:t>Regarding</w:t>
      </w:r>
      <w:r w:rsidRPr="00406F82">
        <w:rPr>
          <w:rFonts w:ascii="Arial" w:hAnsi="Arial" w:cs="Arial"/>
          <w:sz w:val="20"/>
        </w:rPr>
        <w:t xml:space="preserve"> reimbursements of </w:t>
      </w:r>
      <w:r>
        <w:rPr>
          <w:rFonts w:ascii="Arial" w:hAnsi="Arial" w:cs="Arial"/>
          <w:sz w:val="20"/>
        </w:rPr>
        <w:t>R&amp;D</w:t>
      </w:r>
      <w:r w:rsidRPr="00406F82">
        <w:rPr>
          <w:rFonts w:ascii="Arial" w:hAnsi="Arial" w:cs="Arial"/>
          <w:sz w:val="20"/>
        </w:rPr>
        <w:t xml:space="preserve"> from another</w:t>
      </w:r>
      <w:r>
        <w:rPr>
          <w:rFonts w:ascii="Arial" w:hAnsi="Arial" w:cs="Arial"/>
          <w:sz w:val="20"/>
        </w:rPr>
        <w:t xml:space="preserve"> </w:t>
      </w:r>
      <w:r w:rsidRPr="00406F82">
        <w:rPr>
          <w:rFonts w:ascii="Arial" w:hAnsi="Arial" w:cs="Arial"/>
          <w:sz w:val="20"/>
        </w:rPr>
        <w:t xml:space="preserve">party </w:t>
      </w:r>
      <w:r>
        <w:rPr>
          <w:rFonts w:ascii="Arial" w:hAnsi="Arial" w:cs="Arial"/>
          <w:sz w:val="20"/>
        </w:rPr>
        <w:t>and</w:t>
      </w:r>
      <w:r w:rsidRPr="00406F82">
        <w:rPr>
          <w:rFonts w:ascii="Arial" w:hAnsi="Arial" w:cs="Arial"/>
          <w:sz w:val="20"/>
        </w:rPr>
        <w:t xml:space="preserve"> whether those reimbursements should be treated as revenue or an offset to</w:t>
      </w:r>
      <w:r>
        <w:rPr>
          <w:rFonts w:ascii="Arial" w:hAnsi="Arial" w:cs="Arial"/>
          <w:sz w:val="20"/>
        </w:rPr>
        <w:t xml:space="preserve"> </w:t>
      </w:r>
      <w:r w:rsidRPr="00406F82">
        <w:rPr>
          <w:rFonts w:ascii="Arial" w:hAnsi="Arial" w:cs="Arial"/>
          <w:sz w:val="20"/>
        </w:rPr>
        <w:t xml:space="preserve">expense </w:t>
      </w:r>
      <w:r>
        <w:rPr>
          <w:rFonts w:ascii="Arial" w:hAnsi="Arial" w:cs="Arial"/>
          <w:sz w:val="20"/>
        </w:rPr>
        <w:t>t</w:t>
      </w:r>
      <w:r w:rsidRPr="00406F82">
        <w:rPr>
          <w:rFonts w:ascii="Arial" w:hAnsi="Arial" w:cs="Arial"/>
          <w:sz w:val="20"/>
        </w:rPr>
        <w:t>he SEC staff has acknowledged that, in some cases, a</w:t>
      </w:r>
      <w:r>
        <w:rPr>
          <w:rFonts w:ascii="Arial" w:hAnsi="Arial" w:cs="Arial"/>
          <w:sz w:val="20"/>
        </w:rPr>
        <w:t xml:space="preserve"> </w:t>
      </w:r>
      <w:r w:rsidRPr="00406F82">
        <w:rPr>
          <w:rFonts w:ascii="Arial" w:hAnsi="Arial" w:cs="Arial"/>
          <w:sz w:val="20"/>
        </w:rPr>
        <w:t xml:space="preserve">reporting entity may be able to support more than one conclusion. </w:t>
      </w:r>
      <w:r>
        <w:rPr>
          <w:rFonts w:ascii="Arial" w:hAnsi="Arial" w:cs="Arial"/>
          <w:sz w:val="20"/>
        </w:rPr>
        <w:t xml:space="preserve">Technical </w:t>
      </w:r>
      <w:r w:rsidR="00171277">
        <w:rPr>
          <w:rFonts w:ascii="Arial" w:hAnsi="Arial" w:cs="Arial"/>
          <w:sz w:val="20"/>
        </w:rPr>
        <w:t>a</w:t>
      </w:r>
      <w:r>
        <w:rPr>
          <w:rFonts w:ascii="Arial" w:hAnsi="Arial" w:cs="Arial"/>
          <w:sz w:val="20"/>
        </w:rPr>
        <w:t>ccounting should be consulted to</w:t>
      </w:r>
      <w:r w:rsidRPr="00406F82">
        <w:rPr>
          <w:rFonts w:ascii="Arial" w:hAnsi="Arial" w:cs="Arial"/>
          <w:sz w:val="20"/>
        </w:rPr>
        <w:t xml:space="preserve"> evaluate the facts and circumstances of each arrangement </w:t>
      </w:r>
      <w:r>
        <w:rPr>
          <w:rFonts w:ascii="Arial" w:hAnsi="Arial" w:cs="Arial"/>
          <w:sz w:val="20"/>
        </w:rPr>
        <w:t xml:space="preserve">and determine the </w:t>
      </w:r>
      <w:r w:rsidRPr="00406F82">
        <w:rPr>
          <w:rFonts w:ascii="Arial" w:hAnsi="Arial" w:cs="Arial"/>
          <w:sz w:val="20"/>
        </w:rPr>
        <w:t>appropriate</w:t>
      </w:r>
      <w:r>
        <w:rPr>
          <w:rFonts w:ascii="Arial" w:hAnsi="Arial" w:cs="Arial"/>
          <w:sz w:val="20"/>
        </w:rPr>
        <w:t xml:space="preserve"> conclusion</w:t>
      </w:r>
      <w:r w:rsidRPr="00406F82">
        <w:rPr>
          <w:rFonts w:ascii="Arial" w:hAnsi="Arial" w:cs="Arial"/>
          <w:sz w:val="20"/>
        </w:rPr>
        <w:t>.</w:t>
      </w:r>
    </w:p>
    <w:p w14:paraId="0F972C47" w14:textId="77777777" w:rsidR="00DF7DFD" w:rsidRDefault="00DF7DFD" w:rsidP="00B5048D">
      <w:pPr>
        <w:spacing w:line="0" w:lineRule="atLeast"/>
        <w:ind w:left="720"/>
        <w:jc w:val="both"/>
        <w:rPr>
          <w:rFonts w:ascii="Arial" w:hAnsi="Arial" w:cs="Arial"/>
          <w:sz w:val="20"/>
        </w:rPr>
      </w:pPr>
    </w:p>
    <w:p w14:paraId="358A5E49" w14:textId="49478BD3"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99" w:name="_Business_Combinations"/>
      <w:bookmarkEnd w:id="99"/>
      <w:r>
        <w:rPr>
          <w:rFonts w:ascii="Century Gothic" w:hAnsi="Century Gothic" w:cs="Arial"/>
          <w:bCs w:val="0"/>
          <w:sz w:val="20"/>
        </w:rPr>
        <w:t>Business Combinations</w:t>
      </w:r>
      <w:r w:rsidR="00B10BF8">
        <w:rPr>
          <w:rFonts w:ascii="Century Gothic" w:hAnsi="Century Gothic" w:cs="Arial"/>
          <w:bCs w:val="0"/>
          <w:sz w:val="20"/>
        </w:rPr>
        <w:t xml:space="preserve"> and Acquisitions</w:t>
      </w:r>
    </w:p>
    <w:p w14:paraId="4DC5D7CE" w14:textId="4C62CAF9"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Whe</w:t>
      </w:r>
      <w:r w:rsidR="0099608B">
        <w:rPr>
          <w:rFonts w:ascii="Arial" w:hAnsi="Arial" w:cs="Arial"/>
          <w:sz w:val="20"/>
        </w:rPr>
        <w:t>n</w:t>
      </w:r>
      <w:r>
        <w:rPr>
          <w:rFonts w:ascii="Arial" w:hAnsi="Arial" w:cs="Arial"/>
          <w:sz w:val="20"/>
        </w:rPr>
        <w:t xml:space="preserve"> the acquisition of a business or asset is considered probable, </w:t>
      </w:r>
      <w:r w:rsidRPr="00AB2EBD">
        <w:rPr>
          <w:rFonts w:ascii="Arial" w:hAnsi="Arial" w:cs="Arial"/>
          <w:sz w:val="20"/>
        </w:rPr>
        <w:t>the</w:t>
      </w:r>
      <w:r w:rsidR="0026468F" w:rsidRPr="00AB2EBD">
        <w:rPr>
          <w:rFonts w:ascii="Arial" w:hAnsi="Arial" w:cs="Arial"/>
          <w:sz w:val="20"/>
        </w:rPr>
        <w:t xml:space="preserve"> Dir, TA</w:t>
      </w:r>
      <w:r w:rsidRPr="00AB2EBD">
        <w:rPr>
          <w:rFonts w:ascii="Arial" w:hAnsi="Arial" w:cs="Arial"/>
          <w:sz w:val="20"/>
        </w:rPr>
        <w:t xml:space="preserve"> should be</w:t>
      </w:r>
      <w:r>
        <w:rPr>
          <w:rFonts w:ascii="Arial" w:hAnsi="Arial" w:cs="Arial"/>
          <w:sz w:val="20"/>
        </w:rPr>
        <w:t xml:space="preserve"> consulted to determine if the transaction or other event qualifies as a </w:t>
      </w:r>
      <w:hyperlink r:id="rId17" w:anchor="term-805-10-20-BusinessCombination-123080" w:history="1">
        <w:r>
          <w:rPr>
            <w:rFonts w:ascii="Arial" w:hAnsi="Arial" w:cs="Arial"/>
            <w:sz w:val="20"/>
          </w:rPr>
          <w:t>business combination</w:t>
        </w:r>
      </w:hyperlink>
      <w:r>
        <w:rPr>
          <w:rFonts w:ascii="Arial" w:hAnsi="Arial" w:cs="Arial"/>
          <w:sz w:val="20"/>
        </w:rPr>
        <w:t>.</w:t>
      </w:r>
    </w:p>
    <w:p w14:paraId="39F4EBBA" w14:textId="77777777" w:rsidR="00A20360" w:rsidRDefault="00A20360" w:rsidP="00B5048D">
      <w:pPr>
        <w:pStyle w:val="ListParagraph"/>
        <w:spacing w:line="0" w:lineRule="atLeast"/>
        <w:ind w:left="360"/>
        <w:contextualSpacing/>
        <w:jc w:val="both"/>
        <w:rPr>
          <w:rFonts w:ascii="Arial" w:hAnsi="Arial" w:cs="Arial"/>
          <w:sz w:val="20"/>
        </w:rPr>
      </w:pPr>
    </w:p>
    <w:p w14:paraId="04041C03" w14:textId="3582EDAF"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The transaction is evaluated throughout the acquisition process by evaluating the Purchase and Sale Agreement (PSA) and any related agreements for elements that could have accounting implications. An acquisition technical accounting memo is </w:t>
      </w:r>
      <w:r w:rsidR="0099608B">
        <w:rPr>
          <w:rFonts w:ascii="Arial" w:hAnsi="Arial" w:cs="Arial"/>
          <w:sz w:val="20"/>
        </w:rPr>
        <w:t xml:space="preserve">prepared </w:t>
      </w:r>
      <w:r>
        <w:rPr>
          <w:rFonts w:ascii="Arial" w:hAnsi="Arial" w:cs="Arial"/>
          <w:sz w:val="20"/>
        </w:rPr>
        <w:t xml:space="preserve">for each transaction, including analysis of accounting treatment for any </w:t>
      </w:r>
      <w:r w:rsidR="00AB2EBD">
        <w:rPr>
          <w:rFonts w:ascii="Arial" w:hAnsi="Arial" w:cs="Arial"/>
          <w:sz w:val="20"/>
        </w:rPr>
        <w:t>acquisition-related</w:t>
      </w:r>
      <w:r>
        <w:rPr>
          <w:rFonts w:ascii="Arial" w:hAnsi="Arial" w:cs="Arial"/>
          <w:sz w:val="20"/>
        </w:rPr>
        <w:t xml:space="preserve"> costs.</w:t>
      </w:r>
    </w:p>
    <w:p w14:paraId="2CB33F9C" w14:textId="77777777" w:rsidR="00A20360" w:rsidRDefault="00A20360" w:rsidP="00B5048D">
      <w:pPr>
        <w:pStyle w:val="ListParagraph"/>
        <w:spacing w:line="0" w:lineRule="atLeast"/>
        <w:ind w:left="360"/>
        <w:contextualSpacing/>
        <w:jc w:val="both"/>
        <w:rPr>
          <w:rFonts w:ascii="Arial" w:hAnsi="Arial" w:cs="Arial"/>
          <w:sz w:val="20"/>
        </w:rPr>
      </w:pPr>
    </w:p>
    <w:p w14:paraId="1F2697D1" w14:textId="44CEB137" w:rsidR="00490627" w:rsidRDefault="00490627" w:rsidP="00B5048D">
      <w:pPr>
        <w:pStyle w:val="ListParagraph"/>
        <w:spacing w:line="0" w:lineRule="atLeast"/>
        <w:ind w:left="360"/>
        <w:contextualSpacing/>
        <w:jc w:val="both"/>
        <w:rPr>
          <w:rFonts w:ascii="Arial" w:hAnsi="Arial" w:cs="Arial"/>
          <w:sz w:val="20"/>
        </w:rPr>
      </w:pPr>
      <w:r>
        <w:rPr>
          <w:rFonts w:ascii="Arial" w:hAnsi="Arial" w:cs="Arial"/>
          <w:sz w:val="20"/>
        </w:rPr>
        <w:t>When determining if a business</w:t>
      </w:r>
      <w:r w:rsidR="008E42A1">
        <w:rPr>
          <w:rFonts w:ascii="Arial" w:hAnsi="Arial" w:cs="Arial"/>
          <w:sz w:val="20"/>
        </w:rPr>
        <w:t xml:space="preserve"> has been acquired</w:t>
      </w:r>
      <w:r>
        <w:rPr>
          <w:rFonts w:ascii="Arial" w:hAnsi="Arial" w:cs="Arial"/>
          <w:sz w:val="20"/>
        </w:rPr>
        <w:t xml:space="preserve">, </w:t>
      </w:r>
      <w:r w:rsidR="008E42A1">
        <w:rPr>
          <w:rFonts w:ascii="Arial" w:hAnsi="Arial" w:cs="Arial"/>
          <w:sz w:val="20"/>
        </w:rPr>
        <w:t xml:space="preserve">you must </w:t>
      </w:r>
      <w:r>
        <w:rPr>
          <w:rFonts w:ascii="Arial" w:hAnsi="Arial" w:cs="Arial"/>
          <w:sz w:val="20"/>
        </w:rPr>
        <w:t>f</w:t>
      </w:r>
      <w:r w:rsidRPr="00490627">
        <w:rPr>
          <w:rFonts w:ascii="Arial" w:hAnsi="Arial" w:cs="Arial"/>
          <w:sz w:val="20"/>
        </w:rPr>
        <w:t xml:space="preserve">irst evaluate whether substantially </w:t>
      </w:r>
      <w:r w:rsidR="005323FA" w:rsidRPr="00490627">
        <w:rPr>
          <w:rFonts w:ascii="Arial" w:hAnsi="Arial" w:cs="Arial"/>
          <w:sz w:val="20"/>
        </w:rPr>
        <w:t>all</w:t>
      </w:r>
      <w:r w:rsidRPr="00490627">
        <w:rPr>
          <w:rFonts w:ascii="Arial" w:hAnsi="Arial" w:cs="Arial"/>
          <w:sz w:val="20"/>
        </w:rPr>
        <w:t xml:space="preserve"> the fair value of the gross assets acquired is concentrated in a single identifiable asset or a group of similar identifiable assets. If </w:t>
      </w:r>
      <w:r>
        <w:rPr>
          <w:rFonts w:ascii="Arial" w:hAnsi="Arial" w:cs="Arial"/>
          <w:sz w:val="20"/>
        </w:rPr>
        <w:t>this is true</w:t>
      </w:r>
      <w:r w:rsidRPr="00490627">
        <w:rPr>
          <w:rFonts w:ascii="Arial" w:hAnsi="Arial" w:cs="Arial"/>
          <w:sz w:val="20"/>
        </w:rPr>
        <w:t>, the set is not a business</w:t>
      </w:r>
      <w:r>
        <w:rPr>
          <w:rFonts w:ascii="Arial" w:hAnsi="Arial" w:cs="Arial"/>
          <w:sz w:val="20"/>
        </w:rPr>
        <w:t>. If it is not true</w:t>
      </w:r>
      <w:r w:rsidR="00855DF3">
        <w:rPr>
          <w:rFonts w:ascii="Arial" w:hAnsi="Arial" w:cs="Arial"/>
          <w:sz w:val="20"/>
        </w:rPr>
        <w:t>,</w:t>
      </w:r>
      <w:r>
        <w:rPr>
          <w:rFonts w:ascii="Arial" w:hAnsi="Arial" w:cs="Arial"/>
          <w:sz w:val="20"/>
        </w:rPr>
        <w:t xml:space="preserve"> then you assess the</w:t>
      </w:r>
      <w:r w:rsidR="00A20360">
        <w:rPr>
          <w:rFonts w:ascii="Arial" w:hAnsi="Arial" w:cs="Arial"/>
          <w:sz w:val="20"/>
        </w:rPr>
        <w:t xml:space="preserve"> set of activities and assets to </w:t>
      </w:r>
      <w:r>
        <w:rPr>
          <w:rFonts w:ascii="Arial" w:hAnsi="Arial" w:cs="Arial"/>
          <w:sz w:val="20"/>
        </w:rPr>
        <w:t xml:space="preserve">determine if it is a business.  To </w:t>
      </w:r>
      <w:r w:rsidR="00A20360">
        <w:rPr>
          <w:rFonts w:ascii="Arial" w:hAnsi="Arial" w:cs="Arial"/>
          <w:sz w:val="20"/>
        </w:rPr>
        <w:t>be a business, it must</w:t>
      </w:r>
      <w:r>
        <w:rPr>
          <w:rFonts w:ascii="Arial" w:hAnsi="Arial" w:cs="Arial"/>
          <w:sz w:val="20"/>
        </w:rPr>
        <w:t xml:space="preserve"> </w:t>
      </w:r>
      <w:r w:rsidRPr="00490627">
        <w:rPr>
          <w:rFonts w:ascii="Arial" w:hAnsi="Arial" w:cs="Arial"/>
          <w:sz w:val="20"/>
        </w:rPr>
        <w:t xml:space="preserve">consist of inputs and processes applied to those inputs that </w:t>
      </w:r>
      <w:r w:rsidR="005323FA" w:rsidRPr="00490627">
        <w:rPr>
          <w:rFonts w:ascii="Arial" w:hAnsi="Arial" w:cs="Arial"/>
          <w:sz w:val="20"/>
        </w:rPr>
        <w:t>can</w:t>
      </w:r>
      <w:r w:rsidRPr="00490627">
        <w:rPr>
          <w:rFonts w:ascii="Arial" w:hAnsi="Arial" w:cs="Arial"/>
          <w:sz w:val="20"/>
        </w:rPr>
        <w:t xml:space="preserve"> contribute to the creation of outputs. Although businesses usually have outputs, outputs are not required for an integrated set to qualify as a business</w:t>
      </w:r>
      <w:r w:rsidR="00AB2EBD">
        <w:rPr>
          <w:rFonts w:ascii="Arial" w:hAnsi="Arial" w:cs="Arial"/>
          <w:sz w:val="20"/>
        </w:rPr>
        <w:t>.</w:t>
      </w:r>
    </w:p>
    <w:p w14:paraId="462DC762" w14:textId="77777777" w:rsidR="00A20360" w:rsidRDefault="00A20360" w:rsidP="00B5048D">
      <w:pPr>
        <w:pStyle w:val="ListParagraph"/>
        <w:spacing w:line="0" w:lineRule="atLeast"/>
        <w:ind w:left="360"/>
        <w:contextualSpacing/>
        <w:jc w:val="both"/>
        <w:rPr>
          <w:rFonts w:ascii="Arial" w:hAnsi="Arial" w:cs="Arial"/>
          <w:sz w:val="20"/>
        </w:rPr>
      </w:pPr>
    </w:p>
    <w:p w14:paraId="6546DD21" w14:textId="77777777"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For business combinations, acquisition-related costs are expensed as incurred.  Acquisition-related costs include finder’s fees; advisory, legal, accounting, valuation, and other professional or consulting fees; general administrative costs, including the costs of maintaining an internal acquisitions department; and costs of registering and issuing debt and equity securities.  </w:t>
      </w:r>
    </w:p>
    <w:p w14:paraId="6A9E35B8" w14:textId="77777777" w:rsidR="00A20360" w:rsidRDefault="00A20360" w:rsidP="00B5048D">
      <w:pPr>
        <w:pStyle w:val="ListParagraph"/>
        <w:spacing w:line="0" w:lineRule="atLeast"/>
        <w:ind w:left="360"/>
        <w:rPr>
          <w:rFonts w:ascii="Arial" w:hAnsi="Arial" w:cs="Arial"/>
          <w:sz w:val="20"/>
        </w:rPr>
      </w:pPr>
    </w:p>
    <w:p w14:paraId="527FC1EA" w14:textId="4E85C305"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A valuation is required to apportion the excess purchase consideration between intangible assets and goodwill, determine useful lives over which to amortize the intangible assets, and establish the model against which impairment testing of intangibles should subsequently be applied. </w:t>
      </w:r>
      <w:r w:rsidR="002237B1">
        <w:rPr>
          <w:rFonts w:ascii="Arial" w:hAnsi="Arial" w:cs="Arial"/>
          <w:sz w:val="20"/>
        </w:rPr>
        <w:t xml:space="preserve">Contingent consideration would also be </w:t>
      </w:r>
      <w:r w:rsidR="00AF3E73">
        <w:rPr>
          <w:rFonts w:ascii="Arial" w:hAnsi="Arial" w:cs="Arial"/>
          <w:sz w:val="20"/>
        </w:rPr>
        <w:t xml:space="preserve">valued. </w:t>
      </w:r>
      <w:r>
        <w:rPr>
          <w:rFonts w:ascii="Arial" w:hAnsi="Arial" w:cs="Arial"/>
          <w:sz w:val="20"/>
        </w:rPr>
        <w:t xml:space="preserve">For minor acquisitions these valuations may be </w:t>
      </w:r>
      <w:proofErr w:type="gramStart"/>
      <w:r>
        <w:rPr>
          <w:rFonts w:ascii="Arial" w:hAnsi="Arial" w:cs="Arial"/>
          <w:sz w:val="20"/>
        </w:rPr>
        <w:t>performed</w:t>
      </w:r>
      <w:proofErr w:type="gramEnd"/>
      <w:r>
        <w:rPr>
          <w:rFonts w:ascii="Arial" w:hAnsi="Arial" w:cs="Arial"/>
          <w:sz w:val="20"/>
        </w:rPr>
        <w:t xml:space="preserve"> in-house based on experience arising in prior transactions. Third party valuations by professional valuation experts are required for significant transactions and are appointed through the </w:t>
      </w:r>
      <w:r w:rsidRPr="00AB2EBD">
        <w:rPr>
          <w:rFonts w:ascii="Arial" w:hAnsi="Arial" w:cs="Arial"/>
          <w:sz w:val="20"/>
        </w:rPr>
        <w:t>CFO</w:t>
      </w:r>
      <w:r w:rsidR="00225669" w:rsidRPr="00AB2EBD">
        <w:rPr>
          <w:rFonts w:ascii="Arial" w:hAnsi="Arial" w:cs="Arial"/>
          <w:sz w:val="20"/>
        </w:rPr>
        <w:t>, CAO or VP Accounting</w:t>
      </w:r>
      <w:r w:rsidRPr="00AB2EBD">
        <w:rPr>
          <w:rFonts w:ascii="Arial" w:hAnsi="Arial"/>
          <w:sz w:val="20"/>
        </w:rPr>
        <w:t>.</w:t>
      </w:r>
    </w:p>
    <w:p w14:paraId="0A3F0155" w14:textId="77777777" w:rsidR="00A20360" w:rsidRDefault="00A20360" w:rsidP="00B5048D">
      <w:pPr>
        <w:pStyle w:val="ListParagraph"/>
        <w:spacing w:line="0" w:lineRule="atLeast"/>
        <w:ind w:left="360"/>
        <w:contextualSpacing/>
        <w:jc w:val="both"/>
        <w:rPr>
          <w:rFonts w:ascii="Arial" w:hAnsi="Arial" w:cs="Arial"/>
          <w:sz w:val="20"/>
        </w:rPr>
      </w:pPr>
    </w:p>
    <w:p w14:paraId="2E22CCC2" w14:textId="405B27CA"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Bioventus capitalize</w:t>
      </w:r>
      <w:r w:rsidR="0099608B">
        <w:rPr>
          <w:rFonts w:ascii="Arial" w:hAnsi="Arial" w:cs="Arial"/>
          <w:sz w:val="20"/>
        </w:rPr>
        <w:t>s</w:t>
      </w:r>
      <w:r>
        <w:rPr>
          <w:rFonts w:ascii="Arial" w:hAnsi="Arial" w:cs="Arial"/>
          <w:sz w:val="20"/>
        </w:rPr>
        <w:t xml:space="preserve"> goodwill as of the acquisition date, measured as the excess of the aggregate of the following and the net of the acquisition date amounts of the identifiable assets acquired and the liabilities assumed measured at fair value:</w:t>
      </w:r>
    </w:p>
    <w:p w14:paraId="0815EEC5" w14:textId="6780F775" w:rsidR="00A20360" w:rsidRDefault="00A20360" w:rsidP="00B5048D">
      <w:pPr>
        <w:numPr>
          <w:ilvl w:val="0"/>
          <w:numId w:val="17"/>
        </w:numPr>
        <w:spacing w:line="0" w:lineRule="atLeast"/>
        <w:jc w:val="both"/>
        <w:rPr>
          <w:rFonts w:ascii="Arial" w:hAnsi="Arial" w:cs="Arial"/>
          <w:sz w:val="20"/>
        </w:rPr>
      </w:pPr>
      <w:r>
        <w:rPr>
          <w:rFonts w:ascii="Arial" w:hAnsi="Arial" w:cs="Arial"/>
          <w:sz w:val="20"/>
        </w:rPr>
        <w:t>The consideration transferred</w:t>
      </w:r>
      <w:r w:rsidR="00AF3E73">
        <w:rPr>
          <w:rFonts w:ascii="Arial" w:hAnsi="Arial" w:cs="Arial"/>
          <w:sz w:val="20"/>
        </w:rPr>
        <w:t>, including contingent consideration</w:t>
      </w:r>
      <w:r>
        <w:rPr>
          <w:rFonts w:ascii="Arial" w:hAnsi="Arial" w:cs="Arial"/>
          <w:sz w:val="20"/>
        </w:rPr>
        <w:t>, which generally requires acquisition-date fair value.</w:t>
      </w:r>
    </w:p>
    <w:p w14:paraId="4C75A933" w14:textId="77777777" w:rsidR="00A20360" w:rsidRDefault="00A20360" w:rsidP="00B5048D">
      <w:pPr>
        <w:numPr>
          <w:ilvl w:val="0"/>
          <w:numId w:val="17"/>
        </w:numPr>
        <w:spacing w:line="0" w:lineRule="atLeast"/>
        <w:jc w:val="both"/>
        <w:rPr>
          <w:rFonts w:ascii="Arial" w:hAnsi="Arial" w:cs="Arial"/>
          <w:sz w:val="20"/>
        </w:rPr>
      </w:pPr>
      <w:r>
        <w:rPr>
          <w:rFonts w:ascii="Arial" w:hAnsi="Arial" w:cs="Arial"/>
          <w:sz w:val="20"/>
        </w:rPr>
        <w:t xml:space="preserve">The fair value of any non-controlling interest in the acquiree. </w:t>
      </w:r>
    </w:p>
    <w:p w14:paraId="58E8D4C1" w14:textId="77777777" w:rsidR="00A20360" w:rsidRDefault="00A20360" w:rsidP="00B5048D">
      <w:pPr>
        <w:numPr>
          <w:ilvl w:val="0"/>
          <w:numId w:val="17"/>
        </w:numPr>
        <w:spacing w:line="0" w:lineRule="atLeast"/>
        <w:jc w:val="both"/>
        <w:rPr>
          <w:rFonts w:ascii="Arial" w:hAnsi="Arial" w:cs="Arial"/>
          <w:sz w:val="20"/>
        </w:rPr>
      </w:pPr>
      <w:r>
        <w:rPr>
          <w:rFonts w:ascii="Arial" w:hAnsi="Arial" w:cs="Arial"/>
          <w:sz w:val="20"/>
        </w:rPr>
        <w:t xml:space="preserve">In a business combination achieved in stages, the acquisition-date fair value of the acquirer’s previously held equity interest in the acquiree. </w:t>
      </w:r>
    </w:p>
    <w:p w14:paraId="7736D809" w14:textId="77777777" w:rsidR="00A20360" w:rsidRDefault="00A20360" w:rsidP="00B5048D">
      <w:pPr>
        <w:spacing w:line="0" w:lineRule="atLeast"/>
        <w:jc w:val="both"/>
        <w:rPr>
          <w:rFonts w:ascii="Arial" w:hAnsi="Arial" w:cs="Arial"/>
          <w:sz w:val="20"/>
        </w:rPr>
      </w:pPr>
    </w:p>
    <w:p w14:paraId="0E0ACF01" w14:textId="19CECCD7"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Goodwill is not amortized but is tested for impairment annually in the fourth quarter or earlier if there are indicators of impairment. </w:t>
      </w:r>
      <w:r w:rsidR="0099608B" w:rsidRPr="009D7A9F">
        <w:rPr>
          <w:rFonts w:ascii="Arial" w:hAnsi="Arial" w:cs="Arial"/>
          <w:i/>
          <w:iCs/>
          <w:sz w:val="20"/>
        </w:rPr>
        <w:t xml:space="preserve">Refer to </w:t>
      </w:r>
      <w:r w:rsidR="0099608B">
        <w:rPr>
          <w:rFonts w:ascii="Arial" w:hAnsi="Arial" w:cs="Arial"/>
          <w:i/>
          <w:iCs/>
          <w:sz w:val="20"/>
        </w:rPr>
        <w:t>S</w:t>
      </w:r>
      <w:r w:rsidR="0099608B" w:rsidRPr="009D7A9F">
        <w:rPr>
          <w:rFonts w:ascii="Arial" w:hAnsi="Arial" w:cs="Arial"/>
          <w:i/>
          <w:iCs/>
          <w:sz w:val="20"/>
        </w:rPr>
        <w:t>ection 13, Goodwill for further discussion</w:t>
      </w:r>
      <w:r w:rsidR="0099608B">
        <w:rPr>
          <w:rFonts w:ascii="Arial" w:hAnsi="Arial" w:cs="Arial"/>
          <w:sz w:val="20"/>
        </w:rPr>
        <w:t xml:space="preserve">. </w:t>
      </w:r>
      <w:r>
        <w:rPr>
          <w:rFonts w:ascii="Arial" w:hAnsi="Arial" w:cs="Arial"/>
          <w:sz w:val="20"/>
        </w:rPr>
        <w:t xml:space="preserve"> </w:t>
      </w:r>
    </w:p>
    <w:p w14:paraId="4FB4050C" w14:textId="77777777" w:rsidR="00A20360" w:rsidRDefault="00A20360" w:rsidP="00B5048D">
      <w:pPr>
        <w:pStyle w:val="ListParagraph"/>
        <w:spacing w:line="0" w:lineRule="atLeast"/>
        <w:ind w:left="360"/>
        <w:contextualSpacing/>
        <w:jc w:val="both"/>
        <w:rPr>
          <w:rFonts w:ascii="Arial" w:hAnsi="Arial" w:cs="Arial"/>
          <w:sz w:val="20"/>
        </w:rPr>
      </w:pPr>
    </w:p>
    <w:p w14:paraId="4832733A" w14:textId="04125012"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During the measurement period, which may be up to one year from the acquisition date, the Company may record adjustments to the assets acquired and liabilities assumed with a corresponding offset to </w:t>
      </w:r>
      <w:r w:rsidRPr="00AB2EBD">
        <w:rPr>
          <w:rFonts w:ascii="Arial" w:hAnsi="Arial" w:cs="Arial"/>
          <w:sz w:val="20"/>
        </w:rPr>
        <w:t xml:space="preserve">goodwill </w:t>
      </w:r>
      <w:r w:rsidRPr="00AB2EBD">
        <w:rPr>
          <w:rFonts w:ascii="Arial" w:hAnsi="Arial"/>
          <w:sz w:val="20"/>
        </w:rPr>
        <w:t>(</w:t>
      </w:r>
      <w:r w:rsidR="0026468F" w:rsidRPr="00AB2EBD">
        <w:rPr>
          <w:rFonts w:ascii="Arial" w:hAnsi="Arial" w:cs="Arial"/>
          <w:sz w:val="20"/>
        </w:rPr>
        <w:t>in accordance with Purchase Accounting Memo issued by Dir, TA</w:t>
      </w:r>
      <w:r w:rsidRPr="00AB2EBD">
        <w:rPr>
          <w:rFonts w:ascii="Arial" w:hAnsi="Arial"/>
          <w:sz w:val="20"/>
        </w:rPr>
        <w:t>)</w:t>
      </w:r>
      <w:r w:rsidRPr="00AB2EBD">
        <w:rPr>
          <w:rFonts w:ascii="Arial" w:hAnsi="Arial" w:cs="Arial"/>
          <w:sz w:val="20"/>
        </w:rPr>
        <w:t xml:space="preserve"> </w:t>
      </w:r>
      <w:r w:rsidR="00AF3E73" w:rsidRPr="00AB2EBD">
        <w:rPr>
          <w:rFonts w:ascii="Arial" w:hAnsi="Arial" w:cs="Arial"/>
          <w:sz w:val="20"/>
        </w:rPr>
        <w:t>only</w:t>
      </w:r>
      <w:r w:rsidR="00AF3E73">
        <w:rPr>
          <w:rFonts w:ascii="Arial" w:hAnsi="Arial" w:cs="Arial"/>
          <w:sz w:val="20"/>
        </w:rPr>
        <w:t xml:space="preserve"> </w:t>
      </w:r>
      <w:r>
        <w:rPr>
          <w:rFonts w:ascii="Arial" w:hAnsi="Arial" w:cs="Arial"/>
          <w:sz w:val="20"/>
        </w:rPr>
        <w:t xml:space="preserve">when new information is obtained about facts and circumstances that existed as of the acquisition date that, if known, would have affected the measurement of the amounts initially recognized or would have resulted in additional assets or liabilities. New information that gives rise to a measurement period adjustment should relate to events or circumstances existing at the acquisition date. Factors to consider in determining whether new information obtained gives rise to a measurement period adjustment includes the timing of the receipt of new information and whether the Company can identify a reason for the measurement period adjustment. Examples of fair value adjustments include among others: </w:t>
      </w:r>
    </w:p>
    <w:p w14:paraId="527B580D" w14:textId="77777777" w:rsidR="00A20360" w:rsidRDefault="00A20360" w:rsidP="00B5048D">
      <w:pPr>
        <w:numPr>
          <w:ilvl w:val="0"/>
          <w:numId w:val="24"/>
        </w:numPr>
        <w:spacing w:line="0" w:lineRule="atLeast"/>
        <w:jc w:val="both"/>
        <w:rPr>
          <w:rFonts w:ascii="Arial" w:hAnsi="Arial" w:cs="Arial"/>
          <w:sz w:val="20"/>
        </w:rPr>
      </w:pPr>
      <w:r>
        <w:rPr>
          <w:rFonts w:ascii="Arial" w:hAnsi="Arial" w:cs="Arial"/>
          <w:sz w:val="20"/>
        </w:rPr>
        <w:t>bringing the acquiree’s accounting policies in line with Bioventus’ policies;</w:t>
      </w:r>
    </w:p>
    <w:p w14:paraId="60EDDEB6" w14:textId="77777777" w:rsidR="00A20360" w:rsidRDefault="00A20360" w:rsidP="00B5048D">
      <w:pPr>
        <w:numPr>
          <w:ilvl w:val="0"/>
          <w:numId w:val="24"/>
        </w:numPr>
        <w:spacing w:line="0" w:lineRule="atLeast"/>
        <w:jc w:val="both"/>
        <w:rPr>
          <w:rFonts w:ascii="Arial" w:hAnsi="Arial" w:cs="Arial"/>
          <w:sz w:val="20"/>
        </w:rPr>
      </w:pPr>
      <w:r>
        <w:rPr>
          <w:rFonts w:ascii="Arial" w:hAnsi="Arial" w:cs="Arial"/>
          <w:sz w:val="20"/>
        </w:rPr>
        <w:t>judgmental recognition of liabilities for legal disputes or uninsured claims;</w:t>
      </w:r>
    </w:p>
    <w:p w14:paraId="2085CCDA" w14:textId="77777777" w:rsidR="00A20360" w:rsidRDefault="00A20360" w:rsidP="00B5048D">
      <w:pPr>
        <w:numPr>
          <w:ilvl w:val="0"/>
          <w:numId w:val="24"/>
        </w:numPr>
        <w:spacing w:line="0" w:lineRule="atLeast"/>
        <w:jc w:val="both"/>
        <w:rPr>
          <w:rFonts w:ascii="Arial" w:hAnsi="Arial" w:cs="Arial"/>
          <w:sz w:val="20"/>
        </w:rPr>
      </w:pPr>
      <w:r>
        <w:rPr>
          <w:rFonts w:ascii="Arial" w:hAnsi="Arial" w:cs="Arial"/>
          <w:sz w:val="20"/>
        </w:rPr>
        <w:t>inventory valued at selling price less costs to sell;</w:t>
      </w:r>
    </w:p>
    <w:p w14:paraId="48108DC7" w14:textId="77777777" w:rsidR="00A20360" w:rsidRDefault="00A20360" w:rsidP="00B5048D">
      <w:pPr>
        <w:numPr>
          <w:ilvl w:val="0"/>
          <w:numId w:val="24"/>
        </w:numPr>
        <w:spacing w:line="0" w:lineRule="atLeast"/>
        <w:jc w:val="both"/>
        <w:rPr>
          <w:rFonts w:ascii="Arial" w:hAnsi="Arial" w:cs="Arial"/>
          <w:sz w:val="20"/>
        </w:rPr>
      </w:pPr>
      <w:r>
        <w:rPr>
          <w:rFonts w:ascii="Arial" w:hAnsi="Arial" w:cs="Arial"/>
          <w:sz w:val="20"/>
        </w:rPr>
        <w:t>onerous contracts; and</w:t>
      </w:r>
    </w:p>
    <w:p w14:paraId="3E1BE92E" w14:textId="77777777" w:rsidR="00A20360" w:rsidRDefault="00A20360" w:rsidP="00B5048D">
      <w:pPr>
        <w:numPr>
          <w:ilvl w:val="0"/>
          <w:numId w:val="24"/>
        </w:numPr>
        <w:spacing w:line="0" w:lineRule="atLeast"/>
        <w:jc w:val="both"/>
        <w:rPr>
          <w:rFonts w:ascii="Arial" w:hAnsi="Arial" w:cs="Arial"/>
          <w:sz w:val="20"/>
        </w:rPr>
      </w:pPr>
      <w:r>
        <w:rPr>
          <w:rFonts w:ascii="Arial" w:hAnsi="Arial" w:cs="Arial"/>
          <w:sz w:val="20"/>
        </w:rPr>
        <w:t xml:space="preserve">adjusting estimated value recorded at inception to reflect independent appraised value. </w:t>
      </w:r>
    </w:p>
    <w:p w14:paraId="4FCD540A" w14:textId="77777777" w:rsidR="00A20360" w:rsidRDefault="00A20360" w:rsidP="00B5048D">
      <w:pPr>
        <w:spacing w:line="0" w:lineRule="atLeast"/>
        <w:ind w:left="1080"/>
        <w:jc w:val="both"/>
        <w:rPr>
          <w:rFonts w:ascii="Arial" w:hAnsi="Arial" w:cs="Arial"/>
          <w:sz w:val="20"/>
        </w:rPr>
      </w:pPr>
    </w:p>
    <w:p w14:paraId="131DE4AB" w14:textId="77777777"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Measurement period adjustments should be recognized in the reporting period in which the adjustment amount is determined. All changes that do not qualify as measurement period adjustments are included in current period earnings.  Upon the conclusion of the measurement period or final determination of the values of assets acquired or liabilities assumed, whichever comes first, any subsequent adjustments are recorded to the statements of operations. </w:t>
      </w:r>
    </w:p>
    <w:p w14:paraId="7CDA3036" w14:textId="77777777" w:rsidR="00A20360" w:rsidRDefault="00A20360" w:rsidP="00B5048D">
      <w:pPr>
        <w:pStyle w:val="ListParagraph"/>
        <w:spacing w:line="0" w:lineRule="atLeast"/>
        <w:ind w:left="360"/>
        <w:contextualSpacing/>
        <w:jc w:val="both"/>
        <w:rPr>
          <w:rFonts w:ascii="Arial" w:hAnsi="Arial" w:cs="Arial"/>
          <w:sz w:val="20"/>
        </w:rPr>
      </w:pPr>
    </w:p>
    <w:p w14:paraId="59787B61" w14:textId="77777777"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Adjustments to asset values which arise from management’s post-acquisition exit or disposal (includes but not limited to restructuring) intentions are not fair value adjustments and should be </w:t>
      </w:r>
      <w:proofErr w:type="gramStart"/>
      <w:r>
        <w:rPr>
          <w:rFonts w:ascii="Arial" w:hAnsi="Arial" w:cs="Arial"/>
          <w:sz w:val="20"/>
        </w:rPr>
        <w:t>expensed</w:t>
      </w:r>
      <w:proofErr w:type="gramEnd"/>
      <w:r>
        <w:rPr>
          <w:rFonts w:ascii="Arial" w:hAnsi="Arial" w:cs="Arial"/>
          <w:sz w:val="20"/>
        </w:rPr>
        <w:t xml:space="preserve"> as incurred.  Provisions for acquisition integration costs should be </w:t>
      </w:r>
      <w:proofErr w:type="gramStart"/>
      <w:r>
        <w:rPr>
          <w:rFonts w:ascii="Arial" w:hAnsi="Arial" w:cs="Arial"/>
          <w:sz w:val="20"/>
        </w:rPr>
        <w:t>expensed</w:t>
      </w:r>
      <w:proofErr w:type="gramEnd"/>
      <w:r>
        <w:rPr>
          <w:rFonts w:ascii="Arial" w:hAnsi="Arial" w:cs="Arial"/>
          <w:sz w:val="20"/>
        </w:rPr>
        <w:t xml:space="preserve"> as incurred.</w:t>
      </w:r>
    </w:p>
    <w:p w14:paraId="7E222A80" w14:textId="77777777" w:rsidR="00A20360" w:rsidRDefault="00A20360" w:rsidP="00B5048D">
      <w:pPr>
        <w:pStyle w:val="ListParagraph"/>
        <w:spacing w:line="0" w:lineRule="atLeast"/>
        <w:ind w:left="360"/>
        <w:contextualSpacing/>
        <w:jc w:val="both"/>
        <w:rPr>
          <w:rFonts w:ascii="Arial" w:hAnsi="Arial" w:cs="Arial"/>
          <w:sz w:val="20"/>
        </w:rPr>
      </w:pPr>
    </w:p>
    <w:p w14:paraId="74A1582A" w14:textId="79AB4B17" w:rsidR="00A20360" w:rsidRDefault="00A20360" w:rsidP="00B5048D">
      <w:pPr>
        <w:pStyle w:val="ListParagraph"/>
        <w:spacing w:line="0" w:lineRule="atLeast"/>
        <w:ind w:left="360"/>
        <w:contextualSpacing/>
        <w:jc w:val="both"/>
        <w:rPr>
          <w:rFonts w:ascii="Arial" w:hAnsi="Arial" w:cs="Arial"/>
          <w:sz w:val="20"/>
        </w:rPr>
      </w:pPr>
      <w:r>
        <w:rPr>
          <w:rFonts w:ascii="Arial" w:hAnsi="Arial" w:cs="Arial"/>
          <w:sz w:val="20"/>
        </w:rPr>
        <w:t xml:space="preserve">If after evaluation, it is determined that the assets acquired are not a business, account for the transaction or other </w:t>
      </w:r>
      <w:proofErr w:type="gramStart"/>
      <w:r>
        <w:rPr>
          <w:rFonts w:ascii="Arial" w:hAnsi="Arial" w:cs="Arial"/>
          <w:sz w:val="20"/>
        </w:rPr>
        <w:t>event</w:t>
      </w:r>
      <w:proofErr w:type="gramEnd"/>
      <w:r>
        <w:rPr>
          <w:rFonts w:ascii="Arial" w:hAnsi="Arial" w:cs="Arial"/>
          <w:sz w:val="20"/>
        </w:rPr>
        <w:t xml:space="preserve"> as an asset acquisition.  The table below summarizes the differences in accounting for a Business Combination vs an Asset Purchase:</w:t>
      </w:r>
    </w:p>
    <w:p w14:paraId="1B09BF32" w14:textId="77777777" w:rsidR="00A20360" w:rsidRDefault="00A20360" w:rsidP="00B5048D">
      <w:pPr>
        <w:pStyle w:val="ListParagraph"/>
        <w:spacing w:line="0" w:lineRule="atLeast"/>
        <w:ind w:left="360"/>
        <w:contextualSpacing/>
        <w:jc w:val="both"/>
        <w:rPr>
          <w:rFonts w:ascii="Arial" w:hAnsi="Arial" w:cs="Arial"/>
          <w:sz w:val="20"/>
        </w:rPr>
      </w:pPr>
    </w:p>
    <w:tbl>
      <w:tblPr>
        <w:tblStyle w:val="GridTable4-Accent1"/>
        <w:tblW w:w="8660" w:type="dxa"/>
        <w:jc w:val="center"/>
        <w:tblLook w:val="04A0" w:firstRow="1" w:lastRow="0" w:firstColumn="1" w:lastColumn="0" w:noHBand="0" w:noVBand="1"/>
      </w:tblPr>
      <w:tblGrid>
        <w:gridCol w:w="2620"/>
        <w:gridCol w:w="3020"/>
        <w:gridCol w:w="3020"/>
      </w:tblGrid>
      <w:tr w:rsidR="00A20360" w:rsidRPr="003D4683" w14:paraId="793EF24B" w14:textId="77777777" w:rsidTr="00B5048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20" w:type="dxa"/>
            <w:hideMark/>
          </w:tcPr>
          <w:p w14:paraId="2644FF10" w14:textId="03013C99" w:rsidR="00A20360" w:rsidRPr="00393CBC" w:rsidRDefault="00A20360" w:rsidP="00393CBC">
            <w:pPr>
              <w:jc w:val="center"/>
              <w:rPr>
                <w:rFonts w:ascii="Arial" w:hAnsi="Arial" w:cs="Arial"/>
                <w:bCs w:val="0"/>
                <w:color w:val="auto"/>
                <w:sz w:val="20"/>
              </w:rPr>
            </w:pPr>
            <w:r w:rsidRPr="00393CBC">
              <w:rPr>
                <w:rFonts w:ascii="Arial" w:hAnsi="Arial" w:cs="Arial"/>
                <w:bCs w:val="0"/>
                <w:color w:val="auto"/>
                <w:sz w:val="20"/>
              </w:rPr>
              <w:t>Item</w:t>
            </w:r>
          </w:p>
        </w:tc>
        <w:tc>
          <w:tcPr>
            <w:tcW w:w="3020" w:type="dxa"/>
            <w:hideMark/>
          </w:tcPr>
          <w:p w14:paraId="3FF9CE92" w14:textId="617E7B48" w:rsidR="00A20360" w:rsidRPr="00393CBC" w:rsidRDefault="00A20360" w:rsidP="00393CB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rPr>
            </w:pPr>
            <w:r w:rsidRPr="00393CBC">
              <w:rPr>
                <w:rFonts w:ascii="Arial" w:hAnsi="Arial" w:cs="Arial"/>
                <w:bCs w:val="0"/>
                <w:color w:val="auto"/>
                <w:sz w:val="20"/>
              </w:rPr>
              <w:t>Business Combination</w:t>
            </w:r>
          </w:p>
        </w:tc>
        <w:tc>
          <w:tcPr>
            <w:tcW w:w="3020" w:type="dxa"/>
            <w:hideMark/>
          </w:tcPr>
          <w:p w14:paraId="6D7694FF" w14:textId="4C4C7591" w:rsidR="00A20360" w:rsidRPr="00393CBC" w:rsidRDefault="00A20360" w:rsidP="00393CB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rPr>
            </w:pPr>
            <w:r w:rsidRPr="00393CBC">
              <w:rPr>
                <w:rFonts w:ascii="Arial" w:hAnsi="Arial" w:cs="Arial"/>
                <w:bCs w:val="0"/>
                <w:color w:val="auto"/>
                <w:sz w:val="20"/>
              </w:rPr>
              <w:t>Asset Purchase</w:t>
            </w:r>
          </w:p>
        </w:tc>
      </w:tr>
      <w:tr w:rsidR="00A20360" w:rsidRPr="003D4683" w14:paraId="60014B1F" w14:textId="77777777" w:rsidTr="00B5048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20" w:type="dxa"/>
            <w:hideMark/>
          </w:tcPr>
          <w:p w14:paraId="7EE22A98" w14:textId="77777777" w:rsidR="00A20360" w:rsidRPr="003D4683" w:rsidRDefault="00A20360" w:rsidP="00B03341">
            <w:pPr>
              <w:rPr>
                <w:rFonts w:ascii="Arial" w:hAnsi="Arial" w:cs="Arial"/>
                <w:color w:val="58595B"/>
                <w:sz w:val="20"/>
              </w:rPr>
            </w:pPr>
            <w:r w:rsidRPr="003D4683">
              <w:rPr>
                <w:rFonts w:ascii="Arial" w:hAnsi="Arial" w:cs="Arial"/>
                <w:color w:val="58595B"/>
                <w:sz w:val="20"/>
              </w:rPr>
              <w:t>Transaction costs</w:t>
            </w:r>
            <w:r w:rsidRPr="003D4683">
              <w:rPr>
                <w:rFonts w:ascii="Muli" w:hAnsi="Muli" w:cs="Arial"/>
                <w:color w:val="58595B"/>
                <w:sz w:val="22"/>
                <w:szCs w:val="22"/>
              </w:rPr>
              <w:t xml:space="preserve"> </w:t>
            </w:r>
          </w:p>
        </w:tc>
        <w:tc>
          <w:tcPr>
            <w:tcW w:w="3020" w:type="dxa"/>
            <w:hideMark/>
          </w:tcPr>
          <w:p w14:paraId="4588F318" w14:textId="77777777" w:rsidR="00A20360" w:rsidRPr="003D4683" w:rsidRDefault="00A20360" w:rsidP="00B03341">
            <w:pPr>
              <w:cnfStyle w:val="000000100000" w:firstRow="0" w:lastRow="0" w:firstColumn="0" w:lastColumn="0" w:oddVBand="0" w:evenVBand="0" w:oddHBand="1"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Expense as incurred </w:t>
            </w:r>
          </w:p>
        </w:tc>
        <w:tc>
          <w:tcPr>
            <w:tcW w:w="3020" w:type="dxa"/>
            <w:hideMark/>
          </w:tcPr>
          <w:p w14:paraId="31E2AC85" w14:textId="77777777" w:rsidR="00A20360" w:rsidRPr="003D4683" w:rsidRDefault="00A20360" w:rsidP="00B03341">
            <w:pPr>
              <w:cnfStyle w:val="000000100000" w:firstRow="0" w:lastRow="0" w:firstColumn="0" w:lastColumn="0" w:oddVBand="0" w:evenVBand="0" w:oddHBand="1"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Capitalize as a component of the cost of assets acquired </w:t>
            </w:r>
          </w:p>
        </w:tc>
      </w:tr>
      <w:tr w:rsidR="00A20360" w:rsidRPr="003D4683" w14:paraId="453748AC" w14:textId="77777777" w:rsidTr="00B5048D">
        <w:trPr>
          <w:trHeight w:val="765"/>
          <w:jc w:val="center"/>
        </w:trPr>
        <w:tc>
          <w:tcPr>
            <w:cnfStyle w:val="001000000000" w:firstRow="0" w:lastRow="0" w:firstColumn="1" w:lastColumn="0" w:oddVBand="0" w:evenVBand="0" w:oddHBand="0" w:evenHBand="0" w:firstRowFirstColumn="0" w:firstRowLastColumn="0" w:lastRowFirstColumn="0" w:lastRowLastColumn="0"/>
            <w:tcW w:w="2620" w:type="dxa"/>
            <w:hideMark/>
          </w:tcPr>
          <w:p w14:paraId="2CABD82D" w14:textId="77777777" w:rsidR="00A20360" w:rsidRPr="003D4683" w:rsidRDefault="00A20360" w:rsidP="00B03341">
            <w:pPr>
              <w:rPr>
                <w:rFonts w:ascii="Arial" w:hAnsi="Arial" w:cs="Arial"/>
                <w:color w:val="58595B"/>
                <w:sz w:val="20"/>
              </w:rPr>
            </w:pPr>
            <w:r w:rsidRPr="003D4683">
              <w:rPr>
                <w:rFonts w:ascii="Arial" w:hAnsi="Arial" w:cs="Arial"/>
                <w:color w:val="58595B"/>
                <w:sz w:val="20"/>
              </w:rPr>
              <w:t>In-process research and development (IPR&amp;D) assets</w:t>
            </w:r>
            <w:r w:rsidRPr="003D4683">
              <w:rPr>
                <w:rFonts w:ascii="Muli" w:hAnsi="Muli" w:cs="Arial"/>
                <w:color w:val="58595B"/>
                <w:sz w:val="22"/>
                <w:szCs w:val="22"/>
              </w:rPr>
              <w:t xml:space="preserve"> </w:t>
            </w:r>
          </w:p>
        </w:tc>
        <w:tc>
          <w:tcPr>
            <w:tcW w:w="3020" w:type="dxa"/>
            <w:hideMark/>
          </w:tcPr>
          <w:p w14:paraId="5791101C" w14:textId="77777777" w:rsidR="00A20360" w:rsidRPr="003D4683" w:rsidRDefault="00A20360" w:rsidP="00B03341">
            <w:pPr>
              <w:cnfStyle w:val="000000000000" w:firstRow="0" w:lastRow="0" w:firstColumn="0" w:lastColumn="0" w:oddVBand="0" w:evenVBand="0" w:oddHBand="0"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Capitalize as indefinite-lived intangible asset, regardless of whether the IPR&amp;D asset has an alternative future use </w:t>
            </w:r>
          </w:p>
        </w:tc>
        <w:tc>
          <w:tcPr>
            <w:tcW w:w="3020" w:type="dxa"/>
            <w:hideMark/>
          </w:tcPr>
          <w:p w14:paraId="7323F33C" w14:textId="77777777" w:rsidR="00A20360" w:rsidRPr="003D4683" w:rsidRDefault="00A20360" w:rsidP="00B03341">
            <w:pPr>
              <w:cnfStyle w:val="000000000000" w:firstRow="0" w:lastRow="0" w:firstColumn="0" w:lastColumn="0" w:oddVBand="0" w:evenVBand="0" w:oddHBand="0"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Expense unless IPR&amp;D has an alternative future use </w:t>
            </w:r>
          </w:p>
        </w:tc>
      </w:tr>
      <w:tr w:rsidR="00A20360" w:rsidRPr="003D4683" w14:paraId="44059C85" w14:textId="77777777" w:rsidTr="00B5048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620" w:type="dxa"/>
            <w:hideMark/>
          </w:tcPr>
          <w:p w14:paraId="74EBBC55" w14:textId="77777777" w:rsidR="00A20360" w:rsidRPr="003D4683" w:rsidRDefault="00A20360" w:rsidP="00B03341">
            <w:pPr>
              <w:rPr>
                <w:rFonts w:ascii="Arial" w:hAnsi="Arial" w:cs="Arial"/>
                <w:color w:val="58595B"/>
                <w:sz w:val="20"/>
              </w:rPr>
            </w:pPr>
            <w:r w:rsidRPr="003D4683">
              <w:rPr>
                <w:rFonts w:ascii="Arial" w:hAnsi="Arial" w:cs="Arial"/>
                <w:color w:val="58595B"/>
                <w:sz w:val="20"/>
              </w:rPr>
              <w:t>Purchase price allocation</w:t>
            </w:r>
            <w:r w:rsidRPr="003D4683">
              <w:rPr>
                <w:rFonts w:ascii="Muli" w:hAnsi="Muli" w:cs="Arial"/>
                <w:color w:val="58595B"/>
                <w:sz w:val="22"/>
                <w:szCs w:val="22"/>
              </w:rPr>
              <w:t xml:space="preserve"> </w:t>
            </w:r>
          </w:p>
        </w:tc>
        <w:tc>
          <w:tcPr>
            <w:tcW w:w="3020" w:type="dxa"/>
            <w:hideMark/>
          </w:tcPr>
          <w:p w14:paraId="12A4FE85" w14:textId="77777777" w:rsidR="00A20360" w:rsidRPr="003D4683" w:rsidRDefault="00A20360" w:rsidP="00B03341">
            <w:pPr>
              <w:cnfStyle w:val="000000100000" w:firstRow="0" w:lastRow="0" w:firstColumn="0" w:lastColumn="0" w:oddVBand="0" w:evenVBand="0" w:oddHBand="1"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Allocate to assets acquired and liabilities assumed based on their fair values </w:t>
            </w:r>
          </w:p>
        </w:tc>
        <w:tc>
          <w:tcPr>
            <w:tcW w:w="3020" w:type="dxa"/>
            <w:hideMark/>
          </w:tcPr>
          <w:p w14:paraId="5EC4EEAF" w14:textId="77777777" w:rsidR="00A20360" w:rsidRPr="003D4683" w:rsidRDefault="00A20360" w:rsidP="00B03341">
            <w:pPr>
              <w:cnfStyle w:val="000000100000" w:firstRow="0" w:lastRow="0" w:firstColumn="0" w:lastColumn="0" w:oddVBand="0" w:evenVBand="0" w:oddHBand="1"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Allocate on a relative fair value basis to non-current, non-financial assets </w:t>
            </w:r>
          </w:p>
        </w:tc>
      </w:tr>
      <w:tr w:rsidR="00A20360" w:rsidRPr="003D4683" w14:paraId="4F99AB55" w14:textId="77777777" w:rsidTr="00B5048D">
        <w:trPr>
          <w:trHeight w:val="1530"/>
          <w:jc w:val="center"/>
        </w:trPr>
        <w:tc>
          <w:tcPr>
            <w:cnfStyle w:val="001000000000" w:firstRow="0" w:lastRow="0" w:firstColumn="1" w:lastColumn="0" w:oddVBand="0" w:evenVBand="0" w:oddHBand="0" w:evenHBand="0" w:firstRowFirstColumn="0" w:firstRowLastColumn="0" w:lastRowFirstColumn="0" w:lastRowLastColumn="0"/>
            <w:tcW w:w="2620" w:type="dxa"/>
            <w:hideMark/>
          </w:tcPr>
          <w:p w14:paraId="26527834" w14:textId="77777777" w:rsidR="00A20360" w:rsidRPr="003D4683" w:rsidRDefault="00A20360" w:rsidP="00B03341">
            <w:pPr>
              <w:rPr>
                <w:rFonts w:ascii="Arial" w:hAnsi="Arial" w:cs="Arial"/>
                <w:color w:val="58595B"/>
                <w:sz w:val="20"/>
              </w:rPr>
            </w:pPr>
            <w:r w:rsidRPr="003D4683">
              <w:rPr>
                <w:rFonts w:ascii="Arial" w:hAnsi="Arial" w:cs="Arial"/>
                <w:color w:val="58595B"/>
                <w:sz w:val="20"/>
              </w:rPr>
              <w:t>Goodwill</w:t>
            </w:r>
            <w:r w:rsidRPr="003D4683">
              <w:rPr>
                <w:rFonts w:ascii="Muli" w:hAnsi="Muli" w:cs="Arial"/>
                <w:color w:val="58595B"/>
                <w:sz w:val="22"/>
                <w:szCs w:val="22"/>
              </w:rPr>
              <w:t xml:space="preserve"> </w:t>
            </w:r>
          </w:p>
        </w:tc>
        <w:tc>
          <w:tcPr>
            <w:tcW w:w="3020" w:type="dxa"/>
            <w:hideMark/>
          </w:tcPr>
          <w:p w14:paraId="44DA2D38" w14:textId="77777777" w:rsidR="00A20360" w:rsidRPr="003D4683" w:rsidRDefault="00A20360" w:rsidP="00B03341">
            <w:pPr>
              <w:cnfStyle w:val="000000000000" w:firstRow="0" w:lastRow="0" w:firstColumn="0" w:lastColumn="0" w:oddVBand="0" w:evenVBand="0" w:oddHBand="0"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Recognize to extent that purchase price exceeds assets and liabilities assumed </w:t>
            </w:r>
          </w:p>
        </w:tc>
        <w:tc>
          <w:tcPr>
            <w:tcW w:w="3020" w:type="dxa"/>
            <w:hideMark/>
          </w:tcPr>
          <w:p w14:paraId="01059E61" w14:textId="77777777" w:rsidR="00A20360" w:rsidRPr="003D4683" w:rsidRDefault="00A20360" w:rsidP="00B03341">
            <w:pPr>
              <w:cnfStyle w:val="000000000000" w:firstRow="0" w:lastRow="0" w:firstColumn="0" w:lastColumn="0" w:oddVBand="0" w:evenVBand="0" w:oddHBand="0"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Do not </w:t>
            </w:r>
            <w:proofErr w:type="gramStart"/>
            <w:r w:rsidRPr="003D4683">
              <w:rPr>
                <w:rFonts w:ascii="Arial" w:hAnsi="Arial" w:cs="Arial"/>
                <w:color w:val="58595B"/>
                <w:sz w:val="20"/>
              </w:rPr>
              <w:t>recognize in</w:t>
            </w:r>
            <w:proofErr w:type="gramEnd"/>
            <w:r w:rsidRPr="003D4683">
              <w:rPr>
                <w:rFonts w:ascii="Arial" w:hAnsi="Arial" w:cs="Arial"/>
                <w:color w:val="58595B"/>
                <w:sz w:val="20"/>
              </w:rPr>
              <w:t xml:space="preserve"> an asset purchase. Any excess consideration transferred over the fair value of the net assets acquired is allocated on a relative fair value basis to the identifiable net assets (other than “non-qualifying” assets). </w:t>
            </w:r>
          </w:p>
        </w:tc>
      </w:tr>
      <w:tr w:rsidR="00A20360" w:rsidRPr="003D4683" w14:paraId="29EFCFCF" w14:textId="77777777" w:rsidTr="00B5048D">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2620" w:type="dxa"/>
            <w:hideMark/>
          </w:tcPr>
          <w:p w14:paraId="554EA948" w14:textId="77777777" w:rsidR="00A20360" w:rsidRPr="003D4683" w:rsidRDefault="00A20360" w:rsidP="00B03341">
            <w:pPr>
              <w:rPr>
                <w:rFonts w:ascii="Arial" w:hAnsi="Arial" w:cs="Arial"/>
                <w:color w:val="58595B"/>
                <w:sz w:val="20"/>
              </w:rPr>
            </w:pPr>
            <w:r w:rsidRPr="003D4683">
              <w:rPr>
                <w:rFonts w:ascii="Arial" w:hAnsi="Arial" w:cs="Arial"/>
                <w:color w:val="58595B"/>
                <w:sz w:val="20"/>
              </w:rPr>
              <w:t>Contingent Consideration</w:t>
            </w:r>
            <w:r w:rsidRPr="003D4683">
              <w:rPr>
                <w:rFonts w:ascii="Muli" w:hAnsi="Muli" w:cs="Arial"/>
                <w:color w:val="58595B"/>
                <w:sz w:val="22"/>
                <w:szCs w:val="22"/>
              </w:rPr>
              <w:t xml:space="preserve"> </w:t>
            </w:r>
          </w:p>
        </w:tc>
        <w:tc>
          <w:tcPr>
            <w:tcW w:w="3020" w:type="dxa"/>
            <w:hideMark/>
          </w:tcPr>
          <w:p w14:paraId="45C10673" w14:textId="77777777" w:rsidR="00A20360" w:rsidRPr="003D4683" w:rsidRDefault="00A20360" w:rsidP="00B03341">
            <w:pPr>
              <w:cnfStyle w:val="000000100000" w:firstRow="0" w:lastRow="0" w:firstColumn="0" w:lastColumn="0" w:oddVBand="0" w:evenVBand="0" w:oddHBand="1" w:evenHBand="0" w:firstRowFirstColumn="0" w:firstRowLastColumn="0" w:lastRowFirstColumn="0" w:lastRowLastColumn="0"/>
              <w:rPr>
                <w:rFonts w:ascii="Arial" w:hAnsi="Arial" w:cs="Arial"/>
                <w:color w:val="58595B"/>
                <w:sz w:val="20"/>
              </w:rPr>
            </w:pPr>
            <w:r w:rsidRPr="003D4683">
              <w:rPr>
                <w:rFonts w:ascii="Arial" w:hAnsi="Arial" w:cs="Arial"/>
                <w:color w:val="58595B"/>
                <w:sz w:val="20"/>
              </w:rPr>
              <w:t xml:space="preserve">Recognize at its acquisition-date fair value as part of the consideration transferred </w:t>
            </w:r>
          </w:p>
        </w:tc>
        <w:tc>
          <w:tcPr>
            <w:tcW w:w="3020" w:type="dxa"/>
            <w:hideMark/>
          </w:tcPr>
          <w:p w14:paraId="192134B5" w14:textId="77777777" w:rsidR="00A20360" w:rsidRPr="003D4683" w:rsidRDefault="00A20360" w:rsidP="00B03341">
            <w:pPr>
              <w:cnfStyle w:val="000000100000" w:firstRow="0" w:lastRow="0" w:firstColumn="0" w:lastColumn="0" w:oddVBand="0" w:evenVBand="0" w:oddHBand="1" w:evenHBand="0" w:firstRowFirstColumn="0" w:firstRowLastColumn="0" w:lastRowFirstColumn="0" w:lastRowLastColumn="0"/>
              <w:rPr>
                <w:rFonts w:ascii="Arial" w:hAnsi="Arial" w:cs="Arial"/>
                <w:color w:val="58595B"/>
                <w:sz w:val="20"/>
              </w:rPr>
            </w:pPr>
            <w:proofErr w:type="gramStart"/>
            <w:r w:rsidRPr="003D4683">
              <w:rPr>
                <w:rFonts w:ascii="Arial" w:hAnsi="Arial" w:cs="Arial"/>
                <w:color w:val="58595B"/>
                <w:sz w:val="20"/>
              </w:rPr>
              <w:t>Generally</w:t>
            </w:r>
            <w:proofErr w:type="gramEnd"/>
            <w:r w:rsidRPr="003D4683">
              <w:rPr>
                <w:rFonts w:ascii="Arial" w:hAnsi="Arial" w:cs="Arial"/>
                <w:color w:val="58595B"/>
                <w:sz w:val="20"/>
              </w:rPr>
              <w:t xml:space="preserve"> recognize when the contingency is resolved (i.e., when the contingent consideration is paid or becomes payable) </w:t>
            </w:r>
          </w:p>
        </w:tc>
      </w:tr>
    </w:tbl>
    <w:p w14:paraId="7CA9C097" w14:textId="77777777" w:rsidR="003D4683" w:rsidRDefault="003D4683" w:rsidP="000752C0">
      <w:pPr>
        <w:pStyle w:val="ListParagraph"/>
        <w:spacing w:line="0" w:lineRule="atLeast"/>
        <w:ind w:left="360"/>
        <w:contextualSpacing/>
        <w:jc w:val="both"/>
        <w:rPr>
          <w:rFonts w:ascii="Arial" w:hAnsi="Arial" w:cs="Arial"/>
          <w:sz w:val="20"/>
        </w:rPr>
      </w:pPr>
    </w:p>
    <w:p w14:paraId="456ABDE3" w14:textId="77777777" w:rsidR="00DF7DFD" w:rsidRPr="00543DBB" w:rsidRDefault="00F62BB8" w:rsidP="00FC279A">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00" w:name="_Exit_or_Disposal"/>
      <w:bookmarkEnd w:id="100"/>
      <w:r w:rsidRPr="00543DBB">
        <w:rPr>
          <w:rFonts w:ascii="Century Gothic" w:hAnsi="Century Gothic" w:cs="Arial"/>
          <w:bCs w:val="0"/>
          <w:sz w:val="20"/>
        </w:rPr>
        <w:t>Exit or Disposal Cost, including Restructuring Cost</w:t>
      </w:r>
    </w:p>
    <w:p w14:paraId="2B0393BE" w14:textId="1FF82C1A" w:rsidR="00DF7DFD" w:rsidRDefault="00F62BB8" w:rsidP="00FC279A">
      <w:pPr>
        <w:pStyle w:val="ListParagraph"/>
        <w:spacing w:line="0" w:lineRule="atLeast"/>
        <w:ind w:left="360"/>
        <w:contextualSpacing/>
        <w:jc w:val="both"/>
        <w:rPr>
          <w:rFonts w:ascii="Arial" w:hAnsi="Arial" w:cs="Arial"/>
          <w:sz w:val="20"/>
        </w:rPr>
      </w:pPr>
      <w:r>
        <w:rPr>
          <w:rFonts w:ascii="Arial" w:hAnsi="Arial" w:cs="Arial"/>
          <w:sz w:val="20"/>
        </w:rPr>
        <w:t xml:space="preserve">Where the sale or termination of an operation is considered probable, </w:t>
      </w:r>
      <w:r w:rsidRPr="00FB3439">
        <w:rPr>
          <w:rFonts w:ascii="Arial" w:hAnsi="Arial" w:cs="Arial"/>
          <w:sz w:val="20"/>
        </w:rPr>
        <w:t>the D</w:t>
      </w:r>
      <w:r w:rsidR="00FA64FF" w:rsidRPr="00FB3439">
        <w:rPr>
          <w:rFonts w:ascii="Arial" w:hAnsi="Arial" w:cs="Arial"/>
          <w:sz w:val="20"/>
        </w:rPr>
        <w:t>ir, TA</w:t>
      </w:r>
      <w:r>
        <w:rPr>
          <w:rFonts w:ascii="Arial" w:hAnsi="Arial" w:cs="Arial"/>
          <w:sz w:val="20"/>
        </w:rPr>
        <w:t xml:space="preserve"> should be consulted to determine the appropriate accounting.  Identifying and calculating the cost to exit these operations requires certain assumptions to be made, the most significant of which are anticipated future liabilities. Significant judgment is required, and these estimates and assumptions may change as additional information becomes available and facts or circumstances change. Restructuring costs are recorded at estimated fair value. Key assumptions in determining the restructuring costs include negotiated terms and payments to terminate certain contractual obligations.</w:t>
      </w:r>
    </w:p>
    <w:p w14:paraId="4347B78A" w14:textId="77777777" w:rsidR="00DF7DFD" w:rsidRDefault="00DF7DFD" w:rsidP="00C96CD5">
      <w:pPr>
        <w:pStyle w:val="ListParagraph"/>
        <w:spacing w:line="0" w:lineRule="atLeast"/>
        <w:ind w:left="360"/>
        <w:contextualSpacing/>
        <w:jc w:val="both"/>
        <w:rPr>
          <w:rFonts w:ascii="Arial" w:hAnsi="Arial" w:cs="Arial"/>
          <w:sz w:val="20"/>
        </w:rPr>
      </w:pPr>
    </w:p>
    <w:p w14:paraId="315908F8" w14:textId="77777777" w:rsidR="00DF7DFD" w:rsidRDefault="00F62BB8" w:rsidP="00DC178B">
      <w:pPr>
        <w:pStyle w:val="ListParagraph"/>
        <w:spacing w:line="0" w:lineRule="atLeast"/>
        <w:ind w:left="360"/>
        <w:contextualSpacing/>
        <w:jc w:val="both"/>
        <w:rPr>
          <w:rFonts w:ascii="Arial" w:hAnsi="Arial" w:cs="Arial"/>
          <w:sz w:val="20"/>
        </w:rPr>
      </w:pPr>
      <w:r>
        <w:rPr>
          <w:rFonts w:ascii="Arial" w:hAnsi="Arial" w:cs="Arial"/>
          <w:sz w:val="20"/>
        </w:rPr>
        <w:t xml:space="preserve">An exit activity includes but is not limited to a restructuring, such as the sale or termination of a line of business, the closure of business activities in a particular location, the relocation of business activities from one location to another, changes in management structure, and a fundamental reorganization that affects the nature and focus of operations.  Commitment to a plan of disposal, by itself, is not sufficient to recognize a liability because it merely reflects an intended future action not a present obligation.  An obligation becomes a present obligation when there is little or no discretion to avoid the future obligation.  Exit and disposal costs include, but are not limited to, the following: </w:t>
      </w:r>
    </w:p>
    <w:p w14:paraId="3FB9D1C8" w14:textId="77777777" w:rsidR="00DF7DFD" w:rsidRDefault="00F62BB8" w:rsidP="00DC178B">
      <w:pPr>
        <w:numPr>
          <w:ilvl w:val="0"/>
          <w:numId w:val="17"/>
        </w:numPr>
        <w:spacing w:line="0" w:lineRule="atLeast"/>
        <w:jc w:val="both"/>
        <w:rPr>
          <w:rFonts w:ascii="Arial" w:hAnsi="Arial" w:cs="Arial"/>
          <w:sz w:val="20"/>
        </w:rPr>
      </w:pPr>
      <w:r w:rsidRPr="009D7A9F">
        <w:rPr>
          <w:rFonts w:ascii="Arial" w:hAnsi="Arial" w:cs="Arial"/>
          <w:sz w:val="20"/>
          <w:u w:val="single"/>
        </w:rPr>
        <w:t>Involuntary employee termination benefits pursuant to a one-time benefit arrangement</w:t>
      </w:r>
      <w:r>
        <w:rPr>
          <w:rFonts w:ascii="Arial" w:hAnsi="Arial" w:cs="Arial"/>
          <w:sz w:val="20"/>
        </w:rPr>
        <w:t xml:space="preserve"> that, in substance, is not an ongoing benefit arrangement or an individual deferred compensation contract. </w:t>
      </w:r>
    </w:p>
    <w:p w14:paraId="56B1CEA1" w14:textId="26665627" w:rsidR="00DF7DFD" w:rsidRDefault="00F62BB8" w:rsidP="00DC178B">
      <w:pPr>
        <w:numPr>
          <w:ilvl w:val="0"/>
          <w:numId w:val="17"/>
        </w:numPr>
        <w:spacing w:line="0" w:lineRule="atLeast"/>
        <w:jc w:val="both"/>
        <w:rPr>
          <w:rFonts w:ascii="Arial" w:hAnsi="Arial" w:cs="Arial"/>
          <w:sz w:val="20"/>
        </w:rPr>
      </w:pPr>
      <w:r>
        <w:rPr>
          <w:rFonts w:ascii="Arial" w:hAnsi="Arial" w:cs="Arial"/>
          <w:sz w:val="20"/>
        </w:rPr>
        <w:t xml:space="preserve">Costs to terminate a contract </w:t>
      </w:r>
      <w:r w:rsidRPr="009D7A9F">
        <w:rPr>
          <w:rFonts w:ascii="Arial" w:hAnsi="Arial" w:cs="Arial"/>
          <w:sz w:val="20"/>
          <w:u w:val="single"/>
        </w:rPr>
        <w:t>that is not a lease</w:t>
      </w:r>
      <w:r>
        <w:rPr>
          <w:rFonts w:ascii="Arial" w:hAnsi="Arial" w:cs="Arial"/>
          <w:sz w:val="20"/>
        </w:rPr>
        <w:t xml:space="preserve">. </w:t>
      </w:r>
    </w:p>
    <w:p w14:paraId="7E50E2AE" w14:textId="77777777" w:rsidR="00DF7DFD" w:rsidRDefault="00F62BB8" w:rsidP="00DC178B">
      <w:pPr>
        <w:numPr>
          <w:ilvl w:val="0"/>
          <w:numId w:val="17"/>
        </w:numPr>
        <w:spacing w:line="0" w:lineRule="atLeast"/>
        <w:jc w:val="both"/>
        <w:rPr>
          <w:rFonts w:ascii="Arial" w:hAnsi="Arial" w:cs="Arial"/>
          <w:sz w:val="20"/>
        </w:rPr>
      </w:pPr>
      <w:r>
        <w:rPr>
          <w:rFonts w:ascii="Arial" w:hAnsi="Arial" w:cs="Arial"/>
          <w:sz w:val="20"/>
        </w:rPr>
        <w:t xml:space="preserve">Other associated costs, including </w:t>
      </w:r>
      <w:r w:rsidRPr="009D7A9F">
        <w:rPr>
          <w:rFonts w:ascii="Arial" w:hAnsi="Arial" w:cs="Arial"/>
          <w:sz w:val="20"/>
          <w:u w:val="single"/>
        </w:rPr>
        <w:t>costs to consolidate or close facilities and relocate employees</w:t>
      </w:r>
      <w:r>
        <w:rPr>
          <w:rFonts w:ascii="Arial" w:hAnsi="Arial" w:cs="Arial"/>
          <w:sz w:val="20"/>
        </w:rPr>
        <w:t xml:space="preserve">. </w:t>
      </w:r>
    </w:p>
    <w:p w14:paraId="00153882" w14:textId="77777777" w:rsidR="00DF7DFD" w:rsidRDefault="00DF7DFD" w:rsidP="00B5048D">
      <w:pPr>
        <w:pStyle w:val="Heading2"/>
        <w:spacing w:line="0" w:lineRule="atLeast"/>
        <w:ind w:left="1800"/>
        <w:rPr>
          <w:rFonts w:ascii="Arial" w:hAnsi="Arial" w:cs="Arial"/>
          <w:b w:val="0"/>
          <w:sz w:val="20"/>
        </w:rPr>
      </w:pPr>
    </w:p>
    <w:p w14:paraId="49257A1D" w14:textId="0EC0A688"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A liability for a cost associated with an exit or disposal activity shall be measured only initially at its fair value in the period in which the liability is incurred, except for a liability for one-time termination benefits that is incurred over time, utilizing the most appropriate valuation technique. Where the effect of the time value of money is material (i.e., for periods longer than 1 year), the amount recognized should be the present value of the expenditure expected to settle the obligation.  </w:t>
      </w:r>
      <w:r w:rsidR="008E42A1">
        <w:rPr>
          <w:rFonts w:ascii="Arial" w:hAnsi="Arial" w:cs="Arial"/>
          <w:sz w:val="20"/>
        </w:rPr>
        <w:t>C</w:t>
      </w:r>
      <w:r>
        <w:rPr>
          <w:rFonts w:ascii="Arial" w:hAnsi="Arial" w:cs="Arial"/>
          <w:sz w:val="20"/>
        </w:rPr>
        <w:t xml:space="preserve">ontact </w:t>
      </w:r>
      <w:r w:rsidRPr="00FB3439">
        <w:rPr>
          <w:rFonts w:ascii="Arial" w:hAnsi="Arial" w:cs="Arial"/>
          <w:sz w:val="20"/>
        </w:rPr>
        <w:t>the</w:t>
      </w:r>
      <w:r w:rsidR="003728B8" w:rsidRPr="00FB3439">
        <w:rPr>
          <w:rFonts w:ascii="Arial" w:hAnsi="Arial" w:cs="Arial"/>
          <w:sz w:val="20"/>
        </w:rPr>
        <w:t xml:space="preserve"> Dir, TA</w:t>
      </w:r>
      <w:r w:rsidRPr="00FB3439">
        <w:rPr>
          <w:rFonts w:ascii="Arial" w:hAnsi="Arial" w:cs="Arial"/>
          <w:sz w:val="20"/>
        </w:rPr>
        <w:t xml:space="preserve"> to</w:t>
      </w:r>
      <w:r>
        <w:rPr>
          <w:rFonts w:ascii="Arial" w:hAnsi="Arial" w:cs="Arial"/>
          <w:sz w:val="20"/>
        </w:rPr>
        <w:t xml:space="preserve"> obtain and discuss the appropriate rate.  Include the accretion expense in the income statement line item originally used to record the expense associated with the exit or disposal activity.</w:t>
      </w:r>
    </w:p>
    <w:p w14:paraId="3DCA8ECB" w14:textId="77777777" w:rsidR="00DF7DFD" w:rsidRDefault="00DF7DFD" w:rsidP="00B5048D">
      <w:pPr>
        <w:pStyle w:val="ListParagraph"/>
        <w:spacing w:line="0" w:lineRule="atLeast"/>
        <w:ind w:left="360"/>
        <w:contextualSpacing/>
        <w:jc w:val="both"/>
        <w:rPr>
          <w:rFonts w:ascii="Arial" w:hAnsi="Arial" w:cs="Arial"/>
          <w:sz w:val="20"/>
        </w:rPr>
      </w:pPr>
    </w:p>
    <w:p w14:paraId="1ED4C436" w14:textId="0BB2EA7B"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A one-time termination benefit arrangement is deemed to exist at the date the plan of termination meets certain criteria (contact the</w:t>
      </w:r>
      <w:r w:rsidR="003728B8">
        <w:rPr>
          <w:rFonts w:ascii="Arial" w:hAnsi="Arial" w:cs="Arial"/>
          <w:sz w:val="20"/>
        </w:rPr>
        <w:t xml:space="preserve"> </w:t>
      </w:r>
      <w:r w:rsidR="003728B8" w:rsidRPr="00FB3439">
        <w:rPr>
          <w:rFonts w:ascii="Arial" w:hAnsi="Arial" w:cs="Arial"/>
          <w:sz w:val="20"/>
        </w:rPr>
        <w:t>Dir, TA</w:t>
      </w:r>
      <w:r w:rsidRPr="00FB3439">
        <w:rPr>
          <w:rFonts w:ascii="Arial" w:hAnsi="Arial" w:cs="Arial"/>
          <w:sz w:val="20"/>
        </w:rPr>
        <w:t xml:space="preserve"> for</w:t>
      </w:r>
      <w:r>
        <w:rPr>
          <w:rFonts w:ascii="Arial" w:hAnsi="Arial" w:cs="Arial"/>
          <w:sz w:val="20"/>
        </w:rPr>
        <w:t xml:space="preserve"> details) and has been communicated to employees (the communication date). Further, the timing and amount of liability recognition is dependent on whether employees are</w:t>
      </w:r>
      <w:r>
        <w:rPr>
          <w:rFonts w:ascii="Arial" w:hAnsi="Arial" w:cs="Arial"/>
          <w:b/>
          <w:sz w:val="20"/>
        </w:rPr>
        <w:t xml:space="preserve"> </w:t>
      </w:r>
      <w:r>
        <w:rPr>
          <w:rFonts w:ascii="Arial" w:hAnsi="Arial" w:cs="Arial"/>
          <w:sz w:val="20"/>
        </w:rPr>
        <w:t xml:space="preserve">required to render future service </w:t>
      </w:r>
      <w:proofErr w:type="gramStart"/>
      <w:r>
        <w:rPr>
          <w:rFonts w:ascii="Arial" w:hAnsi="Arial" w:cs="Arial"/>
          <w:sz w:val="20"/>
        </w:rPr>
        <w:t>in order to</w:t>
      </w:r>
      <w:proofErr w:type="gramEnd"/>
      <w:r>
        <w:rPr>
          <w:rFonts w:ascii="Arial" w:hAnsi="Arial" w:cs="Arial"/>
          <w:sz w:val="20"/>
        </w:rPr>
        <w:t xml:space="preserve"> receive the termination benefits. If employees are required to render service until they are terminated the liability (expense) should be recognized ratably over the future service period, even if the benefit formula used to calculate the termination benefit is based on past service.</w:t>
      </w:r>
      <w:r>
        <w:rPr>
          <w:rFonts w:ascii="Arial" w:hAnsi="Arial" w:cs="Arial"/>
        </w:rPr>
        <w:t xml:space="preserve"> </w:t>
      </w:r>
      <w:r>
        <w:rPr>
          <w:rFonts w:ascii="Arial" w:hAnsi="Arial" w:cs="Arial"/>
          <w:sz w:val="20"/>
        </w:rPr>
        <w:t>Benefits provided under a one-time benefit arrangement include, but are not limited to, severance payments, outplacement job training, counseling, and other services.</w:t>
      </w:r>
    </w:p>
    <w:p w14:paraId="63780383" w14:textId="77777777" w:rsidR="00DF7DFD" w:rsidRDefault="00DF7DFD" w:rsidP="00B5048D">
      <w:pPr>
        <w:spacing w:line="0" w:lineRule="atLeast"/>
        <w:ind w:left="360"/>
        <w:rPr>
          <w:rFonts w:ascii="Arial" w:hAnsi="Arial" w:cs="Arial"/>
        </w:rPr>
      </w:pPr>
    </w:p>
    <w:p w14:paraId="0E2BA5C4" w14:textId="69DA23DB"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Contract termination costs include costs to terminate a contract before the end of its term and costs that will continue to be incurred under the contract for </w:t>
      </w:r>
      <w:r w:rsidR="00FB3439">
        <w:rPr>
          <w:rFonts w:ascii="Arial" w:hAnsi="Arial" w:cs="Arial"/>
          <w:sz w:val="20"/>
        </w:rPr>
        <w:t>the</w:t>
      </w:r>
      <w:r>
        <w:rPr>
          <w:rFonts w:ascii="Arial" w:hAnsi="Arial" w:cs="Arial"/>
          <w:sz w:val="20"/>
        </w:rPr>
        <w:t xml:space="preserve"> remaining term without economic benefit to the entity. Liabilities for these costs are to be recognized and measured at fair value when the contract is terminated or Bioventus ceases to use the rights conveyed under the contract (Cease-use Date).  </w:t>
      </w:r>
    </w:p>
    <w:p w14:paraId="3B82F644" w14:textId="77777777" w:rsidR="00DF7DFD" w:rsidRDefault="00DF7DFD" w:rsidP="00B5048D">
      <w:pPr>
        <w:pStyle w:val="ListParagraph"/>
        <w:spacing w:line="0" w:lineRule="atLeast"/>
        <w:ind w:left="360"/>
        <w:contextualSpacing/>
        <w:jc w:val="both"/>
        <w:rPr>
          <w:rFonts w:ascii="Arial" w:hAnsi="Arial" w:cs="Arial"/>
          <w:sz w:val="20"/>
        </w:rPr>
      </w:pPr>
    </w:p>
    <w:p w14:paraId="2A2E7309" w14:textId="709E8B15"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Other associated costs to consolidate or close a </w:t>
      </w:r>
      <w:r w:rsidR="00FB3439">
        <w:rPr>
          <w:rFonts w:ascii="Arial" w:hAnsi="Arial" w:cs="Arial"/>
          <w:sz w:val="20"/>
        </w:rPr>
        <w:t>facility</w:t>
      </w:r>
      <w:r>
        <w:rPr>
          <w:rFonts w:ascii="Arial" w:hAnsi="Arial" w:cs="Arial"/>
          <w:sz w:val="20"/>
        </w:rPr>
        <w:t xml:space="preserve"> should be recognized and measured at fair value in the period in which the liability is </w:t>
      </w:r>
      <w:proofErr w:type="gramStart"/>
      <w:r>
        <w:rPr>
          <w:rFonts w:ascii="Arial" w:hAnsi="Arial" w:cs="Arial"/>
          <w:sz w:val="20"/>
        </w:rPr>
        <w:t>incurred</w:t>
      </w:r>
      <w:proofErr w:type="gramEnd"/>
      <w:r>
        <w:rPr>
          <w:rFonts w:ascii="Arial" w:hAnsi="Arial" w:cs="Arial"/>
          <w:sz w:val="20"/>
        </w:rPr>
        <w:t xml:space="preserve"> which is generally upon receipt of the goods or services.  Other costs associated with an exit or disposal activity may include moving costs, security costs for a closed facility and employee relocation costs. Possible goods or services received in connection with such other costs could include consulting services, relocation services or new computer software.</w:t>
      </w:r>
    </w:p>
    <w:p w14:paraId="7B6A6B74" w14:textId="77777777" w:rsidR="00393026" w:rsidRDefault="00393026" w:rsidP="00B5048D">
      <w:pPr>
        <w:pStyle w:val="ListParagraph"/>
        <w:spacing w:line="0" w:lineRule="atLeast"/>
        <w:ind w:left="360"/>
        <w:contextualSpacing/>
        <w:jc w:val="both"/>
        <w:rPr>
          <w:rFonts w:ascii="Arial" w:hAnsi="Arial" w:cs="Arial"/>
          <w:sz w:val="20"/>
        </w:rPr>
      </w:pPr>
    </w:p>
    <w:p w14:paraId="69416C32" w14:textId="45008356" w:rsidR="00393026" w:rsidRPr="00FB3439" w:rsidRDefault="00393026" w:rsidP="00B5048D">
      <w:pPr>
        <w:pStyle w:val="ListParagraph"/>
        <w:spacing w:line="0" w:lineRule="atLeast"/>
        <w:ind w:left="360"/>
        <w:contextualSpacing/>
        <w:jc w:val="both"/>
        <w:rPr>
          <w:rFonts w:ascii="Arial" w:hAnsi="Arial" w:cs="Arial"/>
          <w:sz w:val="20"/>
        </w:rPr>
      </w:pPr>
      <w:r w:rsidRPr="009D7A9F">
        <w:rPr>
          <w:rFonts w:ascii="Arial" w:hAnsi="Arial" w:cs="Arial"/>
          <w:sz w:val="20"/>
        </w:rPr>
        <w:t>The gain or loss associated with a disposal activity will be disaggregated on the consolidated statements of operations as its own caption if material. The item will be disclosed as a component of operating income/loss.</w:t>
      </w:r>
    </w:p>
    <w:p w14:paraId="109639FD" w14:textId="77777777" w:rsidR="004F69B8" w:rsidRDefault="004F69B8" w:rsidP="00B5048D">
      <w:pPr>
        <w:pStyle w:val="ListParagraph"/>
        <w:spacing w:line="0" w:lineRule="atLeast"/>
        <w:ind w:left="360"/>
        <w:contextualSpacing/>
        <w:jc w:val="both"/>
        <w:rPr>
          <w:rFonts w:ascii="Arial" w:hAnsi="Arial" w:cs="Arial"/>
          <w:sz w:val="20"/>
        </w:rPr>
      </w:pPr>
    </w:p>
    <w:p w14:paraId="0C46764D" w14:textId="3D58642A" w:rsidR="004F69B8" w:rsidRDefault="004F69B8" w:rsidP="00B5048D">
      <w:pPr>
        <w:pStyle w:val="ListParagraph"/>
        <w:spacing w:line="0" w:lineRule="atLeast"/>
        <w:ind w:left="360"/>
        <w:contextualSpacing/>
        <w:jc w:val="both"/>
        <w:rPr>
          <w:rFonts w:ascii="Arial" w:hAnsi="Arial" w:cs="Arial"/>
          <w:sz w:val="20"/>
        </w:rPr>
      </w:pPr>
      <w:r w:rsidRPr="00FB3439">
        <w:rPr>
          <w:rFonts w:ascii="Arial" w:hAnsi="Arial"/>
          <w:sz w:val="20"/>
          <w:u w:val="single"/>
        </w:rPr>
        <w:t>Seller contingent consideration</w:t>
      </w:r>
      <w:r w:rsidRPr="00FB3439">
        <w:rPr>
          <w:rFonts w:ascii="Arial" w:hAnsi="Arial"/>
          <w:sz w:val="20"/>
        </w:rPr>
        <w:t xml:space="preserve">- for </w:t>
      </w:r>
      <w:r w:rsidR="004C6A05" w:rsidRPr="00FB3439">
        <w:rPr>
          <w:rFonts w:ascii="Arial" w:hAnsi="Arial"/>
          <w:sz w:val="20"/>
        </w:rPr>
        <w:t xml:space="preserve">a business sold by the Company in a transaction that includes contingent consideration, the Company has made an </w:t>
      </w:r>
      <w:r w:rsidR="004C6A05" w:rsidRPr="00FB3439">
        <w:rPr>
          <w:rFonts w:ascii="Arial" w:hAnsi="Arial"/>
          <w:b/>
          <w:sz w:val="20"/>
        </w:rPr>
        <w:t>accounting policy election</w:t>
      </w:r>
      <w:r w:rsidR="004C6A05" w:rsidRPr="00FB3439">
        <w:rPr>
          <w:rFonts w:ascii="Arial" w:hAnsi="Arial"/>
          <w:sz w:val="20"/>
        </w:rPr>
        <w:t xml:space="preserve"> to record the contingent consideration portion of the arrangement when the consideration is determined to be realizable (i.e., accounted for as a gain contingency under ASC 450). That is, the contingent consideration will be recognized after the contingency is resolved and should be classified as ‘other Income”.</w:t>
      </w:r>
      <w:r w:rsidR="004C6A05">
        <w:rPr>
          <w:rFonts w:ascii="Arial" w:hAnsi="Arial" w:cs="Arial"/>
          <w:sz w:val="20"/>
        </w:rPr>
        <w:t xml:space="preserve"> </w:t>
      </w:r>
    </w:p>
    <w:p w14:paraId="52FFDC10" w14:textId="77777777" w:rsidR="00DF7DFD" w:rsidRDefault="00DF7DFD" w:rsidP="00B5048D">
      <w:pPr>
        <w:spacing w:line="0" w:lineRule="atLeast"/>
        <w:ind w:firstLine="1440"/>
        <w:jc w:val="both"/>
        <w:rPr>
          <w:rFonts w:ascii="Arial" w:hAnsi="Arial" w:cs="Arial"/>
          <w:sz w:val="20"/>
        </w:rPr>
      </w:pPr>
    </w:p>
    <w:p w14:paraId="3CAA29B4"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01" w:name="_Discontinued_Operations"/>
      <w:bookmarkStart w:id="102" w:name="_Toc217460899"/>
      <w:bookmarkStart w:id="103" w:name="_Toc308509440"/>
      <w:bookmarkEnd w:id="101"/>
      <w:r>
        <w:rPr>
          <w:rFonts w:ascii="Century Gothic" w:hAnsi="Century Gothic" w:cs="Arial"/>
          <w:bCs w:val="0"/>
          <w:sz w:val="20"/>
        </w:rPr>
        <w:t>Discontinued Operations</w:t>
      </w:r>
      <w:bookmarkEnd w:id="102"/>
      <w:bookmarkEnd w:id="103"/>
    </w:p>
    <w:p w14:paraId="670EBAB3" w14:textId="0049B7AB"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Discontinued operations can only arise in exceptional circumstances.  No </w:t>
      </w:r>
      <w:r w:rsidR="00543DBB" w:rsidRPr="00543DBB">
        <w:rPr>
          <w:rFonts w:ascii="Arial" w:hAnsi="Arial" w:cs="Arial"/>
          <w:sz w:val="20"/>
        </w:rPr>
        <w:t xml:space="preserve">component of </w:t>
      </w:r>
      <w:r w:rsidR="00543DBB">
        <w:rPr>
          <w:rFonts w:ascii="Arial" w:hAnsi="Arial" w:cs="Arial"/>
          <w:sz w:val="20"/>
        </w:rPr>
        <w:t>the Company</w:t>
      </w:r>
      <w:r w:rsidR="00543DBB" w:rsidRPr="00543DBB">
        <w:rPr>
          <w:rFonts w:ascii="Arial" w:hAnsi="Arial" w:cs="Arial"/>
          <w:sz w:val="20"/>
        </w:rPr>
        <w:t xml:space="preserve"> </w:t>
      </w:r>
      <w:r>
        <w:rPr>
          <w:rFonts w:ascii="Arial" w:hAnsi="Arial" w:cs="Arial"/>
          <w:sz w:val="20"/>
        </w:rPr>
        <w:t xml:space="preserve">shall be treated as a discontinued operation without the prior approval of the </w:t>
      </w:r>
      <w:r w:rsidRPr="00037037">
        <w:rPr>
          <w:rFonts w:ascii="Arial" w:hAnsi="Arial" w:cs="Arial"/>
          <w:sz w:val="20"/>
        </w:rPr>
        <w:t>C</w:t>
      </w:r>
      <w:r w:rsidR="00D55823" w:rsidRPr="00037037">
        <w:rPr>
          <w:rFonts w:ascii="Arial" w:hAnsi="Arial" w:cs="Arial"/>
          <w:sz w:val="20"/>
        </w:rPr>
        <w:t>F</w:t>
      </w:r>
      <w:r w:rsidRPr="00037037">
        <w:rPr>
          <w:rFonts w:ascii="Arial" w:hAnsi="Arial" w:cs="Arial"/>
          <w:sz w:val="20"/>
        </w:rPr>
        <w:t>O</w:t>
      </w:r>
      <w:r w:rsidR="009E4AEB" w:rsidRPr="00037037">
        <w:rPr>
          <w:rFonts w:ascii="Arial" w:hAnsi="Arial" w:cs="Arial"/>
          <w:sz w:val="20"/>
        </w:rPr>
        <w:t xml:space="preserve">, and evaluated in an accounting memo prepared by Dir, </w:t>
      </w:r>
      <w:proofErr w:type="gramStart"/>
      <w:r w:rsidR="009E4AEB" w:rsidRPr="00037037">
        <w:rPr>
          <w:rFonts w:ascii="Arial" w:hAnsi="Arial" w:cs="Arial"/>
          <w:sz w:val="20"/>
        </w:rPr>
        <w:t>TA.</w:t>
      </w:r>
      <w:r w:rsidRPr="00037037">
        <w:rPr>
          <w:rFonts w:ascii="Arial" w:hAnsi="Arial" w:cs="Arial"/>
          <w:sz w:val="20"/>
        </w:rPr>
        <w:t>.</w:t>
      </w:r>
      <w:proofErr w:type="gramEnd"/>
      <w:r w:rsidR="00FA6BCF" w:rsidRPr="00037037">
        <w:rPr>
          <w:rFonts w:ascii="Arial" w:hAnsi="Arial" w:cs="Arial"/>
          <w:sz w:val="20"/>
        </w:rPr>
        <w:t xml:space="preserve"> A component is defined as </w:t>
      </w:r>
      <w:proofErr w:type="gramStart"/>
      <w:r w:rsidR="00FA6BCF" w:rsidRPr="00037037">
        <w:rPr>
          <w:rFonts w:ascii="Arial" w:hAnsi="Arial" w:cs="Arial"/>
          <w:sz w:val="20"/>
        </w:rPr>
        <w:t>comprising of</w:t>
      </w:r>
      <w:proofErr w:type="gramEnd"/>
      <w:r w:rsidR="00FA6BCF" w:rsidRPr="00037037">
        <w:rPr>
          <w:rFonts w:ascii="Arial" w:hAnsi="Arial" w:cs="Arial"/>
          <w:sz w:val="20"/>
        </w:rPr>
        <w:t xml:space="preserve"> operations and cash flows that can be clearly distinguished, operationally and for financial</w:t>
      </w:r>
      <w:r w:rsidR="00FA6BCF" w:rsidRPr="00543DBB">
        <w:rPr>
          <w:rFonts w:ascii="Arial" w:hAnsi="Arial" w:cs="Arial"/>
          <w:sz w:val="20"/>
        </w:rPr>
        <w:t xml:space="preserve"> reporting purposes, from the rest of the </w:t>
      </w:r>
      <w:r w:rsidR="00FA6BCF">
        <w:rPr>
          <w:rFonts w:ascii="Arial" w:hAnsi="Arial" w:cs="Arial"/>
          <w:sz w:val="20"/>
        </w:rPr>
        <w:t>Company</w:t>
      </w:r>
      <w:r w:rsidR="00FA6BCF" w:rsidRPr="00543DBB">
        <w:rPr>
          <w:rFonts w:ascii="Arial" w:hAnsi="Arial" w:cs="Arial"/>
          <w:sz w:val="20"/>
        </w:rPr>
        <w:t>. A component may be a reportable segment or an operating segment, a reporting unit, a subsidiary, or an asset group</w:t>
      </w:r>
      <w:r w:rsidR="00FA6BCF">
        <w:rPr>
          <w:rFonts w:ascii="Arial" w:hAnsi="Arial" w:cs="Arial"/>
          <w:sz w:val="20"/>
        </w:rPr>
        <w:t xml:space="preserve">. </w:t>
      </w:r>
      <w:r w:rsidR="00FA6BCF" w:rsidRPr="00FA6BCF">
        <w:rPr>
          <w:rFonts w:ascii="Arial" w:hAnsi="Arial" w:cs="Arial"/>
          <w:sz w:val="20"/>
        </w:rPr>
        <w:t xml:space="preserve">The disposal of a component of an entity or group of components of an entity should be </w:t>
      </w:r>
      <w:r w:rsidR="00FA6BCF" w:rsidRPr="009D7A9F">
        <w:rPr>
          <w:rFonts w:ascii="Arial" w:hAnsi="Arial" w:cs="Arial"/>
          <w:b/>
          <w:bCs/>
          <w:sz w:val="20"/>
        </w:rPr>
        <w:t>reported in</w:t>
      </w:r>
      <w:r w:rsidR="00FA6BCF" w:rsidRPr="00FA6BCF">
        <w:rPr>
          <w:rFonts w:ascii="Arial" w:hAnsi="Arial" w:cs="Arial"/>
          <w:sz w:val="20"/>
        </w:rPr>
        <w:t xml:space="preserve"> </w:t>
      </w:r>
      <w:r w:rsidR="00FA6BCF" w:rsidRPr="009D7A9F">
        <w:rPr>
          <w:rFonts w:ascii="Arial" w:hAnsi="Arial" w:cs="Arial"/>
          <w:b/>
          <w:bCs/>
          <w:sz w:val="20"/>
        </w:rPr>
        <w:t>discontinued operations</w:t>
      </w:r>
      <w:r w:rsidR="00FA6BCF" w:rsidRPr="00FA6BCF">
        <w:rPr>
          <w:rFonts w:ascii="Arial" w:hAnsi="Arial" w:cs="Arial"/>
          <w:sz w:val="20"/>
        </w:rPr>
        <w:t xml:space="preserve"> </w:t>
      </w:r>
      <w:r w:rsidR="00FA6BCF" w:rsidRPr="009D7A9F">
        <w:rPr>
          <w:rFonts w:ascii="Arial" w:hAnsi="Arial" w:cs="Arial"/>
          <w:sz w:val="20"/>
          <w:u w:val="single"/>
        </w:rPr>
        <w:t>if</w:t>
      </w:r>
      <w:r w:rsidR="00FA6BCF" w:rsidRPr="00FA6BCF">
        <w:rPr>
          <w:rFonts w:ascii="Arial" w:hAnsi="Arial" w:cs="Arial"/>
          <w:sz w:val="20"/>
        </w:rPr>
        <w:t xml:space="preserve"> the disposal </w:t>
      </w:r>
      <w:r w:rsidR="00FA6BCF" w:rsidRPr="009D7A9F">
        <w:rPr>
          <w:rFonts w:ascii="Arial" w:hAnsi="Arial" w:cs="Arial"/>
          <w:sz w:val="20"/>
          <w:u w:val="single"/>
        </w:rPr>
        <w:t>represents a strategic shift</w:t>
      </w:r>
      <w:r w:rsidR="00FA6BCF" w:rsidRPr="00FA6BCF">
        <w:rPr>
          <w:rFonts w:ascii="Arial" w:hAnsi="Arial" w:cs="Arial"/>
          <w:sz w:val="20"/>
        </w:rPr>
        <w:t xml:space="preserve"> that has (or will have) a </w:t>
      </w:r>
      <w:r w:rsidR="00FA6BCF" w:rsidRPr="009D7A9F">
        <w:rPr>
          <w:rFonts w:ascii="Arial" w:hAnsi="Arial" w:cs="Arial"/>
          <w:sz w:val="20"/>
          <w:u w:val="single"/>
        </w:rPr>
        <w:t>major effect on an entity’s operations and financial results</w:t>
      </w:r>
      <w:r w:rsidR="00FA6BCF" w:rsidRPr="00FA6BCF">
        <w:rPr>
          <w:rFonts w:ascii="Arial" w:hAnsi="Arial" w:cs="Arial"/>
          <w:sz w:val="20"/>
        </w:rPr>
        <w:t xml:space="preserve"> when any of the following occurs</w:t>
      </w:r>
      <w:r w:rsidR="00DE6650">
        <w:rPr>
          <w:rFonts w:ascii="Arial" w:hAnsi="Arial" w:cs="Arial"/>
          <w:sz w:val="20"/>
        </w:rPr>
        <w:t>.</w:t>
      </w:r>
    </w:p>
    <w:p w14:paraId="3B1D5CD7" w14:textId="77777777" w:rsidR="00DF7DFD" w:rsidRDefault="00DF7DFD" w:rsidP="00B5048D">
      <w:pPr>
        <w:spacing w:line="0" w:lineRule="atLeast"/>
        <w:ind w:left="1080"/>
        <w:jc w:val="both"/>
        <w:rPr>
          <w:rFonts w:ascii="Arial" w:hAnsi="Arial" w:cs="Arial"/>
          <w:sz w:val="20"/>
        </w:rPr>
      </w:pPr>
    </w:p>
    <w:p w14:paraId="707F6896" w14:textId="77777777" w:rsidR="00DF7DFD" w:rsidRDefault="00F62BB8" w:rsidP="00B5048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04" w:name="_Interest_Expense"/>
      <w:bookmarkEnd w:id="104"/>
      <w:r>
        <w:rPr>
          <w:rFonts w:ascii="Century Gothic" w:hAnsi="Century Gothic" w:cs="Arial"/>
          <w:bCs w:val="0"/>
          <w:sz w:val="20"/>
        </w:rPr>
        <w:t>Interest Expense</w:t>
      </w:r>
    </w:p>
    <w:p w14:paraId="62DC4371" w14:textId="1DA43D15" w:rsidR="00DF7DFD" w:rsidRDefault="00F62BB8" w:rsidP="00B5048D">
      <w:pPr>
        <w:pStyle w:val="ListParagraph"/>
        <w:spacing w:line="0" w:lineRule="atLeast"/>
        <w:ind w:left="360"/>
        <w:contextualSpacing/>
        <w:jc w:val="both"/>
        <w:rPr>
          <w:rFonts w:ascii="Arial" w:hAnsi="Arial" w:cs="Arial"/>
          <w:sz w:val="20"/>
        </w:rPr>
      </w:pPr>
      <w:r>
        <w:rPr>
          <w:rFonts w:ascii="Arial" w:hAnsi="Arial" w:cs="Arial"/>
          <w:sz w:val="20"/>
        </w:rPr>
        <w:t xml:space="preserve">Interest expense includes interest charged on items falling within the definition of debt which includes bank or other borrowings and </w:t>
      </w:r>
      <w:r w:rsidR="00861062">
        <w:rPr>
          <w:rFonts w:ascii="Arial" w:hAnsi="Arial" w:cs="Arial"/>
          <w:sz w:val="20"/>
        </w:rPr>
        <w:t>finance</w:t>
      </w:r>
      <w:r>
        <w:rPr>
          <w:rFonts w:ascii="Arial" w:hAnsi="Arial" w:cs="Arial"/>
          <w:sz w:val="20"/>
        </w:rPr>
        <w:t xml:space="preserve"> leases as well as other sources.  Following are possible types of interest at Bioventus:</w:t>
      </w:r>
    </w:p>
    <w:p w14:paraId="3714371E" w14:textId="5868E93A" w:rsidR="00DF7DFD" w:rsidRPr="00037037" w:rsidRDefault="00F62BB8" w:rsidP="00B5048D">
      <w:pPr>
        <w:pStyle w:val="ListParagraph"/>
        <w:numPr>
          <w:ilvl w:val="0"/>
          <w:numId w:val="27"/>
        </w:numPr>
        <w:spacing w:line="0" w:lineRule="atLeast"/>
        <w:contextualSpacing/>
        <w:jc w:val="both"/>
        <w:rPr>
          <w:rFonts w:ascii="Arial" w:hAnsi="Arial"/>
          <w:sz w:val="20"/>
        </w:rPr>
      </w:pPr>
      <w:r w:rsidRPr="00037037">
        <w:rPr>
          <w:rFonts w:ascii="Arial" w:hAnsi="Arial"/>
          <w:sz w:val="20"/>
        </w:rPr>
        <w:t>Debt</w:t>
      </w:r>
      <w:r w:rsidR="008F27F7" w:rsidRPr="00037037">
        <w:rPr>
          <w:rFonts w:ascii="Arial" w:hAnsi="Arial"/>
          <w:sz w:val="20"/>
        </w:rPr>
        <w:t xml:space="preserve">, including unused commitment fee </w:t>
      </w:r>
      <w:r w:rsidR="00AB3C2E" w:rsidRPr="00037037">
        <w:rPr>
          <w:rFonts w:ascii="Arial" w:hAnsi="Arial"/>
          <w:sz w:val="20"/>
        </w:rPr>
        <w:t xml:space="preserve">charges </w:t>
      </w:r>
      <w:r w:rsidRPr="00037037">
        <w:rPr>
          <w:rFonts w:ascii="Arial" w:hAnsi="Arial"/>
          <w:sz w:val="20"/>
        </w:rPr>
        <w:t>(</w:t>
      </w:r>
      <w:r w:rsidR="00C55DA8" w:rsidRPr="00037037">
        <w:rPr>
          <w:rFonts w:ascii="Arial" w:hAnsi="Arial" w:cs="Arial"/>
          <w:sz w:val="20"/>
        </w:rPr>
        <w:t xml:space="preserve">G/L account </w:t>
      </w:r>
      <w:r w:rsidR="00C55DA8" w:rsidRPr="00037037">
        <w:rPr>
          <w:rFonts w:ascii="Arial" w:hAnsi="Arial"/>
          <w:sz w:val="20"/>
        </w:rPr>
        <w:t>7</w:t>
      </w:r>
      <w:r w:rsidRPr="00037037">
        <w:rPr>
          <w:rFonts w:ascii="Arial" w:hAnsi="Arial"/>
          <w:sz w:val="20"/>
        </w:rPr>
        <w:t>00100)</w:t>
      </w:r>
    </w:p>
    <w:p w14:paraId="10F3CF8F" w14:textId="5C07D69D" w:rsidR="008F27F7" w:rsidRPr="00037037" w:rsidRDefault="008F27F7" w:rsidP="00B5048D">
      <w:pPr>
        <w:pStyle w:val="ListParagraph"/>
        <w:numPr>
          <w:ilvl w:val="0"/>
          <w:numId w:val="27"/>
        </w:numPr>
        <w:spacing w:line="0" w:lineRule="atLeast"/>
        <w:contextualSpacing/>
        <w:jc w:val="both"/>
        <w:rPr>
          <w:rFonts w:ascii="Arial" w:hAnsi="Arial"/>
          <w:sz w:val="20"/>
        </w:rPr>
      </w:pPr>
      <w:r w:rsidRPr="00037037">
        <w:rPr>
          <w:rFonts w:ascii="Arial" w:hAnsi="Arial"/>
          <w:sz w:val="20"/>
        </w:rPr>
        <w:t>Finance leases (</w:t>
      </w:r>
      <w:r w:rsidR="00C55DA8" w:rsidRPr="00037037">
        <w:rPr>
          <w:rFonts w:ascii="Arial" w:hAnsi="Arial" w:cs="Arial"/>
          <w:sz w:val="20"/>
        </w:rPr>
        <w:t xml:space="preserve">G/L account </w:t>
      </w:r>
      <w:r w:rsidR="00C55DA8" w:rsidRPr="00037037">
        <w:rPr>
          <w:rFonts w:ascii="Arial" w:hAnsi="Arial"/>
          <w:sz w:val="20"/>
        </w:rPr>
        <w:t>7</w:t>
      </w:r>
      <w:r w:rsidRPr="00037037">
        <w:rPr>
          <w:rFonts w:ascii="Arial" w:hAnsi="Arial"/>
          <w:sz w:val="20"/>
        </w:rPr>
        <w:t>00104)</w:t>
      </w:r>
    </w:p>
    <w:p w14:paraId="1D935769" w14:textId="157F09E2" w:rsidR="00DF7DFD" w:rsidRPr="00037037" w:rsidRDefault="00F62BB8" w:rsidP="00B5048D">
      <w:pPr>
        <w:pStyle w:val="ListParagraph"/>
        <w:numPr>
          <w:ilvl w:val="0"/>
          <w:numId w:val="27"/>
        </w:numPr>
        <w:spacing w:line="0" w:lineRule="atLeast"/>
        <w:contextualSpacing/>
        <w:jc w:val="both"/>
        <w:rPr>
          <w:rFonts w:ascii="Arial" w:hAnsi="Arial"/>
          <w:sz w:val="20"/>
        </w:rPr>
      </w:pPr>
      <w:r w:rsidRPr="00037037">
        <w:rPr>
          <w:rFonts w:ascii="Arial" w:hAnsi="Arial"/>
          <w:sz w:val="20"/>
        </w:rPr>
        <w:t>Deferred loan fees and discount amortization (</w:t>
      </w:r>
      <w:r w:rsidR="00C55DA8" w:rsidRPr="00037037">
        <w:rPr>
          <w:rFonts w:ascii="Arial" w:hAnsi="Arial" w:cs="Arial"/>
          <w:sz w:val="20"/>
        </w:rPr>
        <w:t xml:space="preserve">G/L account </w:t>
      </w:r>
      <w:r w:rsidR="00C55DA8" w:rsidRPr="00037037">
        <w:rPr>
          <w:rFonts w:ascii="Arial" w:hAnsi="Arial"/>
          <w:sz w:val="20"/>
        </w:rPr>
        <w:t>7</w:t>
      </w:r>
      <w:r w:rsidRPr="00037037">
        <w:rPr>
          <w:rFonts w:ascii="Arial" w:hAnsi="Arial"/>
          <w:sz w:val="20"/>
        </w:rPr>
        <w:t>00101)</w:t>
      </w:r>
    </w:p>
    <w:p w14:paraId="388D24FF" w14:textId="468956D7" w:rsidR="00DF7DFD" w:rsidRPr="00037037" w:rsidRDefault="00D47FD9" w:rsidP="00B5048D">
      <w:pPr>
        <w:pStyle w:val="ListParagraph"/>
        <w:numPr>
          <w:ilvl w:val="0"/>
          <w:numId w:val="27"/>
        </w:numPr>
        <w:spacing w:line="0" w:lineRule="atLeast"/>
        <w:contextualSpacing/>
        <w:jc w:val="both"/>
        <w:rPr>
          <w:rFonts w:ascii="Arial" w:hAnsi="Arial"/>
          <w:sz w:val="20"/>
        </w:rPr>
      </w:pPr>
      <w:r w:rsidRPr="00037037">
        <w:rPr>
          <w:rFonts w:ascii="Arial" w:hAnsi="Arial"/>
          <w:sz w:val="20"/>
        </w:rPr>
        <w:t>C</w:t>
      </w:r>
      <w:r w:rsidR="00F62BB8" w:rsidRPr="00037037">
        <w:rPr>
          <w:rFonts w:ascii="Arial" w:hAnsi="Arial"/>
          <w:sz w:val="20"/>
        </w:rPr>
        <w:t>hange in the fair value of interest rate swaps (</w:t>
      </w:r>
      <w:r w:rsidR="00C55DA8" w:rsidRPr="00037037">
        <w:rPr>
          <w:rFonts w:ascii="Arial" w:hAnsi="Arial" w:cs="Arial"/>
          <w:sz w:val="20"/>
        </w:rPr>
        <w:t xml:space="preserve">G/L account </w:t>
      </w:r>
      <w:r w:rsidR="00C55DA8" w:rsidRPr="00037037">
        <w:rPr>
          <w:rFonts w:ascii="Arial" w:hAnsi="Arial"/>
          <w:sz w:val="20"/>
        </w:rPr>
        <w:t>7</w:t>
      </w:r>
      <w:r w:rsidR="00F62BB8" w:rsidRPr="00037037">
        <w:rPr>
          <w:rFonts w:ascii="Arial" w:hAnsi="Arial"/>
          <w:sz w:val="20"/>
        </w:rPr>
        <w:t>0010</w:t>
      </w:r>
      <w:r w:rsidR="0092230E" w:rsidRPr="00037037">
        <w:rPr>
          <w:rFonts w:ascii="Arial" w:hAnsi="Arial"/>
          <w:sz w:val="20"/>
        </w:rPr>
        <w:t>0</w:t>
      </w:r>
      <w:r w:rsidR="00F62BB8" w:rsidRPr="00037037">
        <w:rPr>
          <w:rFonts w:ascii="Arial" w:hAnsi="Arial"/>
          <w:sz w:val="20"/>
        </w:rPr>
        <w:t>)</w:t>
      </w:r>
    </w:p>
    <w:p w14:paraId="19D119EA" w14:textId="1E5706D6" w:rsidR="00DF7DFD" w:rsidRPr="00037037" w:rsidRDefault="00F62BB8" w:rsidP="00B5048D">
      <w:pPr>
        <w:pStyle w:val="ListParagraph"/>
        <w:numPr>
          <w:ilvl w:val="0"/>
          <w:numId w:val="27"/>
        </w:numPr>
        <w:spacing w:line="0" w:lineRule="atLeast"/>
        <w:contextualSpacing/>
        <w:jc w:val="both"/>
        <w:rPr>
          <w:rFonts w:ascii="Arial" w:hAnsi="Arial"/>
          <w:sz w:val="20"/>
        </w:rPr>
      </w:pPr>
      <w:r w:rsidRPr="00037037">
        <w:rPr>
          <w:rFonts w:ascii="Arial" w:hAnsi="Arial"/>
          <w:sz w:val="20"/>
        </w:rPr>
        <w:t>Change in the fair value of EPR liability (</w:t>
      </w:r>
      <w:r w:rsidR="00C55DA8" w:rsidRPr="00037037">
        <w:rPr>
          <w:rFonts w:ascii="Arial" w:hAnsi="Arial" w:cs="Arial"/>
          <w:sz w:val="20"/>
        </w:rPr>
        <w:t xml:space="preserve">G/L account </w:t>
      </w:r>
      <w:r w:rsidR="00C55DA8" w:rsidRPr="00037037">
        <w:rPr>
          <w:rFonts w:ascii="Arial" w:hAnsi="Arial"/>
          <w:sz w:val="20"/>
        </w:rPr>
        <w:t>7</w:t>
      </w:r>
      <w:r w:rsidRPr="00037037">
        <w:rPr>
          <w:rFonts w:ascii="Arial" w:hAnsi="Arial"/>
          <w:sz w:val="20"/>
        </w:rPr>
        <w:t>00102)</w:t>
      </w:r>
    </w:p>
    <w:p w14:paraId="05DBE03B" w14:textId="77777777" w:rsidR="00DF7DFD" w:rsidRPr="00037037" w:rsidRDefault="00DF7DFD" w:rsidP="00B5048D">
      <w:pPr>
        <w:pStyle w:val="ListParagraph"/>
        <w:spacing w:line="0" w:lineRule="atLeast"/>
        <w:ind w:left="0"/>
        <w:contextualSpacing/>
        <w:jc w:val="both"/>
        <w:rPr>
          <w:rFonts w:ascii="Arial" w:hAnsi="Arial"/>
          <w:sz w:val="20"/>
        </w:rPr>
      </w:pPr>
    </w:p>
    <w:p w14:paraId="5F35F014" w14:textId="37E08494" w:rsidR="00DF7DFD" w:rsidRDefault="00F62BB8" w:rsidP="00B5048D">
      <w:pPr>
        <w:pStyle w:val="ListParagraph"/>
        <w:spacing w:line="0" w:lineRule="atLeast"/>
        <w:ind w:left="360"/>
        <w:contextualSpacing/>
        <w:jc w:val="both"/>
        <w:rPr>
          <w:rFonts w:ascii="Arial" w:hAnsi="Arial" w:cs="Arial"/>
          <w:sz w:val="20"/>
        </w:rPr>
      </w:pPr>
      <w:r w:rsidRPr="00037037">
        <w:rPr>
          <w:rFonts w:ascii="Arial" w:hAnsi="Arial"/>
          <w:sz w:val="20"/>
        </w:rPr>
        <w:t xml:space="preserve">Interest </w:t>
      </w:r>
      <w:proofErr w:type="gramStart"/>
      <w:r w:rsidRPr="00037037">
        <w:rPr>
          <w:rFonts w:ascii="Arial" w:hAnsi="Arial"/>
          <w:sz w:val="20"/>
        </w:rPr>
        <w:t>on</w:t>
      </w:r>
      <w:proofErr w:type="gramEnd"/>
      <w:r w:rsidRPr="00037037">
        <w:rPr>
          <w:rFonts w:ascii="Arial" w:hAnsi="Arial"/>
          <w:sz w:val="20"/>
        </w:rPr>
        <w:t xml:space="preserve"> overdue operating account items and bank charges should be </w:t>
      </w:r>
      <w:proofErr w:type="gramStart"/>
      <w:r w:rsidRPr="00037037">
        <w:rPr>
          <w:rFonts w:ascii="Arial" w:hAnsi="Arial"/>
          <w:sz w:val="20"/>
        </w:rPr>
        <w:t>expensed</w:t>
      </w:r>
      <w:proofErr w:type="gramEnd"/>
      <w:r w:rsidRPr="00037037">
        <w:rPr>
          <w:rFonts w:ascii="Arial" w:hAnsi="Arial"/>
          <w:sz w:val="20"/>
        </w:rPr>
        <w:t xml:space="preserve"> to </w:t>
      </w:r>
      <w:r w:rsidR="00C55DA8" w:rsidRPr="00037037">
        <w:rPr>
          <w:rFonts w:ascii="Arial" w:hAnsi="Arial" w:cs="Arial"/>
          <w:sz w:val="20"/>
        </w:rPr>
        <w:t xml:space="preserve">G/L account </w:t>
      </w:r>
      <w:r w:rsidR="00C55DA8" w:rsidRPr="00037037">
        <w:rPr>
          <w:rFonts w:ascii="Arial" w:hAnsi="Arial"/>
          <w:sz w:val="20"/>
        </w:rPr>
        <w:t>6</w:t>
      </w:r>
      <w:r w:rsidRPr="00037037">
        <w:rPr>
          <w:rFonts w:ascii="Arial" w:hAnsi="Arial"/>
          <w:sz w:val="20"/>
        </w:rPr>
        <w:t>30080.</w:t>
      </w:r>
    </w:p>
    <w:p w14:paraId="33481565" w14:textId="77777777" w:rsidR="00DF7DFD" w:rsidRDefault="00DF7DFD" w:rsidP="00B5048D">
      <w:pPr>
        <w:pStyle w:val="Heading2"/>
        <w:tabs>
          <w:tab w:val="clear" w:pos="1440"/>
          <w:tab w:val="clear" w:pos="2880"/>
          <w:tab w:val="clear" w:pos="4395"/>
          <w:tab w:val="clear" w:pos="5760"/>
          <w:tab w:val="clear" w:pos="7560"/>
        </w:tabs>
        <w:spacing w:line="0" w:lineRule="atLeast"/>
        <w:ind w:left="360"/>
        <w:rPr>
          <w:rFonts w:ascii="Arial" w:hAnsi="Arial" w:cs="Arial"/>
          <w:bCs w:val="0"/>
          <w:sz w:val="20"/>
        </w:rPr>
      </w:pPr>
    </w:p>
    <w:p w14:paraId="6F698D45" w14:textId="68BC6F5D" w:rsidR="00DF7DFD" w:rsidRDefault="00F62BB8" w:rsidP="00A5205D">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05" w:name="_Income_Tax"/>
      <w:bookmarkStart w:id="106" w:name="_Toc308509458"/>
      <w:bookmarkEnd w:id="74"/>
      <w:bookmarkEnd w:id="82"/>
      <w:bookmarkEnd w:id="105"/>
      <w:r>
        <w:rPr>
          <w:rFonts w:ascii="Century Gothic" w:hAnsi="Century Gothic" w:cs="Arial"/>
          <w:bCs w:val="0"/>
          <w:sz w:val="20"/>
        </w:rPr>
        <w:t>Income Tax</w:t>
      </w:r>
      <w:bookmarkEnd w:id="106"/>
    </w:p>
    <w:p w14:paraId="4BEFABF0" w14:textId="77777777"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 xml:space="preserve">Bioventus Inc. is the sole managing member of BV LLC, which is treated as a partnership for U.S. federal and most applicable state and local income tax purposes. As a partnership, BV LLC is not subject to U.S. federal and certain state and local income taxes. Any taxable income or loss generated by BV LLC is passed through to and included in the taxable income or loss of its members, including the Company, on a </w:t>
      </w:r>
      <w:proofErr w:type="gramStart"/>
      <w:r w:rsidRPr="00A5205D">
        <w:rPr>
          <w:rFonts w:ascii="Arial" w:hAnsi="Arial" w:cs="Arial"/>
          <w:sz w:val="20"/>
        </w:rPr>
        <w:t>pro rata</w:t>
      </w:r>
      <w:proofErr w:type="gramEnd"/>
      <w:r w:rsidRPr="00A5205D">
        <w:rPr>
          <w:rFonts w:ascii="Arial" w:hAnsi="Arial" w:cs="Arial"/>
          <w:sz w:val="20"/>
        </w:rPr>
        <w:t xml:space="preserve"> basis. Bioventus Inc. is subject to U.S. federal income taxes, in addition to state and local income taxes with respect to its allocable share of any taxable income of BV LLC. The Company has other U.S. and foreign corporate subsidiaries that are also subject to tax.</w:t>
      </w:r>
    </w:p>
    <w:p w14:paraId="44A3F02D" w14:textId="77777777" w:rsidR="000752C0" w:rsidRPr="00A5205D" w:rsidRDefault="000752C0" w:rsidP="00A5205D">
      <w:pPr>
        <w:spacing w:line="0" w:lineRule="atLeast"/>
        <w:contextualSpacing/>
        <w:jc w:val="both"/>
        <w:rPr>
          <w:rFonts w:ascii="Arial" w:hAnsi="Arial" w:cs="Arial"/>
          <w:sz w:val="20"/>
        </w:rPr>
      </w:pPr>
    </w:p>
    <w:p w14:paraId="6041CDF4" w14:textId="4416ADFB" w:rsidR="000752C0" w:rsidRPr="00A5205D" w:rsidRDefault="000752C0" w:rsidP="00A5205D">
      <w:pPr>
        <w:spacing w:line="0" w:lineRule="atLeast"/>
        <w:ind w:left="360"/>
        <w:contextualSpacing/>
        <w:jc w:val="both"/>
        <w:rPr>
          <w:rFonts w:ascii="Arial" w:hAnsi="Arial" w:cs="Arial"/>
          <w:sz w:val="20"/>
        </w:rPr>
      </w:pPr>
      <w:r w:rsidRPr="00A5205D">
        <w:rPr>
          <w:rFonts w:ascii="Arial" w:hAnsi="Arial" w:cs="Arial"/>
          <w:sz w:val="20"/>
        </w:rPr>
        <w:t xml:space="preserve">Quarterly, an estimated tax payment workbook is prepared and reviewed by third party accountants and until the cash is paid, a tax distribution liability </w:t>
      </w:r>
      <w:r w:rsidRPr="00E41CC5">
        <w:rPr>
          <w:rFonts w:ascii="Arial" w:hAnsi="Arial" w:cs="Arial"/>
          <w:sz w:val="20"/>
        </w:rPr>
        <w:t>(</w:t>
      </w:r>
      <w:r w:rsidR="00C55DA8" w:rsidRPr="00E41CC5">
        <w:rPr>
          <w:rFonts w:ascii="Arial" w:hAnsi="Arial" w:cs="Arial"/>
          <w:sz w:val="20"/>
        </w:rPr>
        <w:t xml:space="preserve">G/L account </w:t>
      </w:r>
      <w:r w:rsidR="00C55DA8" w:rsidRPr="00E41CC5">
        <w:rPr>
          <w:rFonts w:ascii="Arial" w:hAnsi="Arial"/>
          <w:sz w:val="20"/>
        </w:rPr>
        <w:t>2</w:t>
      </w:r>
      <w:r w:rsidRPr="00E41CC5">
        <w:rPr>
          <w:rFonts w:ascii="Arial" w:hAnsi="Arial"/>
          <w:sz w:val="20"/>
        </w:rPr>
        <w:t>16417</w:t>
      </w:r>
      <w:r w:rsidRPr="00E41CC5">
        <w:rPr>
          <w:rFonts w:ascii="Arial" w:hAnsi="Arial" w:cs="Arial"/>
          <w:sz w:val="20"/>
        </w:rPr>
        <w:t>) is maintained for the amount due to the partners with the offset to equity (</w:t>
      </w:r>
      <w:r w:rsidR="00C55DA8" w:rsidRPr="00E41CC5">
        <w:rPr>
          <w:rFonts w:ascii="Arial" w:hAnsi="Arial" w:cs="Arial"/>
          <w:sz w:val="20"/>
        </w:rPr>
        <w:t xml:space="preserve">G/L account </w:t>
      </w:r>
      <w:r w:rsidR="00C55DA8" w:rsidRPr="00E41CC5">
        <w:rPr>
          <w:rFonts w:ascii="Arial" w:hAnsi="Arial"/>
          <w:sz w:val="20"/>
        </w:rPr>
        <w:t>3</w:t>
      </w:r>
      <w:r w:rsidRPr="00E41CC5">
        <w:rPr>
          <w:rFonts w:ascii="Arial" w:hAnsi="Arial"/>
          <w:sz w:val="20"/>
        </w:rPr>
        <w:t>33998</w:t>
      </w:r>
      <w:r w:rsidRPr="00E41CC5">
        <w:rPr>
          <w:rFonts w:ascii="Arial" w:hAnsi="Arial" w:cs="Arial"/>
          <w:sz w:val="20"/>
        </w:rPr>
        <w:t>).  All</w:t>
      </w:r>
      <w:r w:rsidRPr="00A5205D">
        <w:rPr>
          <w:rFonts w:ascii="Arial" w:hAnsi="Arial" w:cs="Arial"/>
          <w:sz w:val="20"/>
        </w:rPr>
        <w:t xml:space="preserve"> cash </w:t>
      </w:r>
      <w:proofErr w:type="gramStart"/>
      <w:r w:rsidRPr="00A5205D">
        <w:rPr>
          <w:rFonts w:ascii="Arial" w:hAnsi="Arial" w:cs="Arial"/>
          <w:sz w:val="20"/>
        </w:rPr>
        <w:t>payments</w:t>
      </w:r>
      <w:proofErr w:type="gramEnd"/>
      <w:r w:rsidRPr="00A5205D">
        <w:rPr>
          <w:rFonts w:ascii="Arial" w:hAnsi="Arial" w:cs="Arial"/>
          <w:sz w:val="20"/>
        </w:rPr>
        <w:t xml:space="preserve"> even if they are over the required </w:t>
      </w:r>
      <w:proofErr w:type="gramStart"/>
      <w:r w:rsidRPr="00A5205D">
        <w:rPr>
          <w:rFonts w:ascii="Arial" w:hAnsi="Arial" w:cs="Arial"/>
          <w:sz w:val="20"/>
        </w:rPr>
        <w:t>distributions</w:t>
      </w:r>
      <w:proofErr w:type="gramEnd"/>
      <w:r w:rsidRPr="00A5205D">
        <w:rPr>
          <w:rFonts w:ascii="Arial" w:hAnsi="Arial" w:cs="Arial"/>
          <w:sz w:val="20"/>
        </w:rPr>
        <w:t xml:space="preserve"> result in an offset to equity.</w:t>
      </w:r>
    </w:p>
    <w:p w14:paraId="57870126" w14:textId="77777777" w:rsidR="000752C0" w:rsidRPr="00A5205D" w:rsidRDefault="000752C0" w:rsidP="00A5205D">
      <w:pPr>
        <w:spacing w:line="0" w:lineRule="atLeast"/>
        <w:ind w:left="360"/>
        <w:contextualSpacing/>
        <w:jc w:val="both"/>
        <w:rPr>
          <w:rFonts w:ascii="Arial" w:hAnsi="Arial" w:cs="Arial"/>
          <w:sz w:val="20"/>
        </w:rPr>
      </w:pPr>
    </w:p>
    <w:p w14:paraId="71440424" w14:textId="77777777"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The income tax provision for interim periods is determined using an estimate of the Company's annual effective tax rate, adjusted for discrete items, if any, that arise during the period. Each quarter, the Company updates its estimate of its annual effective tax rate, and if the estimated annual effective tax rate changes, the Company makes a cumulative adjustment in such period. The quarterly tax provision, and estimate of the Company's annual effective tax rate, are subject to variation due to several factors, including variability in pre-tax income (or loss), the mix of jurisdictions to which such income relates, changes in how the Company conducts business, and tax law developments. The Company does not adjust its deferred tax asset/liability balance during interim periods.</w:t>
      </w:r>
    </w:p>
    <w:p w14:paraId="595FC426" w14:textId="77777777" w:rsidR="000752C0" w:rsidRPr="00A5205D" w:rsidRDefault="000752C0" w:rsidP="00A5205D">
      <w:pPr>
        <w:autoSpaceDE w:val="0"/>
        <w:autoSpaceDN w:val="0"/>
        <w:adjustRightInd w:val="0"/>
        <w:ind w:left="360"/>
        <w:rPr>
          <w:rFonts w:ascii="Arial" w:hAnsi="Arial" w:cs="Arial"/>
          <w:sz w:val="20"/>
        </w:rPr>
      </w:pPr>
    </w:p>
    <w:p w14:paraId="49F4D55F" w14:textId="430D9B4C"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 xml:space="preserve">For purposes of the yearend tax provision, the Company will determine its actual worldwide effective tax rate to be applied to pre-tax book income. Items impacting the tax rate, such as the non-controlling interest, non-deductible stock compensation and any credits will be computed at that time. Income tax expense includes U.S. federal, state, local and international income taxes and is recorded in </w:t>
      </w:r>
      <w:r w:rsidR="00C55DA8" w:rsidRPr="00E41CC5">
        <w:rPr>
          <w:rFonts w:ascii="Arial" w:hAnsi="Arial" w:cs="Arial"/>
          <w:sz w:val="20"/>
        </w:rPr>
        <w:t xml:space="preserve">G/L account </w:t>
      </w:r>
      <w:r w:rsidR="00C55DA8" w:rsidRPr="00E41CC5">
        <w:rPr>
          <w:rFonts w:ascii="Arial" w:hAnsi="Arial"/>
          <w:sz w:val="20"/>
        </w:rPr>
        <w:t>7</w:t>
      </w:r>
      <w:r w:rsidRPr="00E41CC5">
        <w:rPr>
          <w:rFonts w:ascii="Arial" w:hAnsi="Arial" w:cs="Arial"/>
          <w:sz w:val="20"/>
        </w:rPr>
        <w:t>50020. In addition, the income tax receivable/payable accounts will be analyzed and</w:t>
      </w:r>
      <w:r w:rsidRPr="00A5205D">
        <w:rPr>
          <w:rFonts w:ascii="Arial" w:hAnsi="Arial" w:cs="Arial"/>
          <w:sz w:val="20"/>
        </w:rPr>
        <w:t xml:space="preserve"> appropriately adjusted based on the estimate of full year cash taxes to be paid. </w:t>
      </w:r>
    </w:p>
    <w:p w14:paraId="50AA891C" w14:textId="77777777" w:rsidR="000752C0" w:rsidRPr="00A5205D" w:rsidRDefault="000752C0" w:rsidP="00A5205D">
      <w:pPr>
        <w:autoSpaceDE w:val="0"/>
        <w:autoSpaceDN w:val="0"/>
        <w:adjustRightInd w:val="0"/>
        <w:ind w:left="360"/>
        <w:rPr>
          <w:rFonts w:ascii="Arial" w:hAnsi="Arial" w:cs="Arial"/>
          <w:sz w:val="20"/>
        </w:rPr>
      </w:pPr>
    </w:p>
    <w:p w14:paraId="395ACAB8" w14:textId="634E5B7B"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 xml:space="preserve">Certain items of income and expense are not reported in income tax returns and financial statements in the same year. The income tax effects of these differences are to be reported as deferred income taxes. The deferrals are all classified as non-current assets or liabilities </w:t>
      </w:r>
      <w:r w:rsidRPr="00E41CC5">
        <w:rPr>
          <w:rFonts w:ascii="Arial" w:hAnsi="Arial" w:cs="Arial"/>
          <w:sz w:val="20"/>
        </w:rPr>
        <w:t>(</w:t>
      </w:r>
      <w:r w:rsidR="00C55DA8" w:rsidRPr="00E41CC5">
        <w:rPr>
          <w:rFonts w:ascii="Arial" w:hAnsi="Arial" w:cs="Arial"/>
          <w:sz w:val="20"/>
        </w:rPr>
        <w:t xml:space="preserve">G/L </w:t>
      </w:r>
      <w:r w:rsidRPr="00E41CC5">
        <w:rPr>
          <w:rFonts w:ascii="Arial" w:hAnsi="Arial" w:cs="Arial"/>
          <w:sz w:val="20"/>
        </w:rPr>
        <w:t>accounts 194500 or 218050).  Only deferred assets and liabilities for the same tax jurisdiction may be netted.  Changes in deferred tax assets and liabilities are recorded as deferred tax expense (</w:t>
      </w:r>
      <w:r w:rsidR="00C55DA8" w:rsidRPr="00E41CC5">
        <w:rPr>
          <w:rFonts w:ascii="Arial" w:hAnsi="Arial" w:cs="Arial"/>
          <w:sz w:val="20"/>
        </w:rPr>
        <w:t>G/L account 7</w:t>
      </w:r>
      <w:r w:rsidRPr="00E41CC5">
        <w:rPr>
          <w:rFonts w:ascii="Arial" w:hAnsi="Arial" w:cs="Arial"/>
          <w:sz w:val="20"/>
        </w:rPr>
        <w:t>50030</w:t>
      </w:r>
      <w:r w:rsidRPr="00A5205D">
        <w:rPr>
          <w:rFonts w:ascii="Arial" w:hAnsi="Arial" w:cs="Arial"/>
          <w:sz w:val="20"/>
        </w:rPr>
        <w:t>) in the statement of operations.</w:t>
      </w:r>
    </w:p>
    <w:p w14:paraId="6B1FBC9F" w14:textId="77777777" w:rsidR="000752C0" w:rsidRPr="00A5205D" w:rsidRDefault="000752C0" w:rsidP="00A5205D">
      <w:pPr>
        <w:autoSpaceDE w:val="0"/>
        <w:autoSpaceDN w:val="0"/>
        <w:adjustRightInd w:val="0"/>
        <w:ind w:left="360"/>
        <w:rPr>
          <w:rFonts w:ascii="Arial" w:hAnsi="Arial" w:cs="Arial"/>
          <w:sz w:val="20"/>
        </w:rPr>
      </w:pPr>
    </w:p>
    <w:p w14:paraId="3B94206A" w14:textId="77777777"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 xml:space="preserve">Valuation allowances are provided to reduce the related deferred income tax assets to an amount which will, more likely than not, be realized (based on the technical merits, that the position will be sustained upon examination including the resolution of the related appeals or litigation processes). The term more likely than not means a likelihood of more than 50%. The Company assesses the need for an adjustment to the valuation allowance on a quarterly basis. The assessment is based on estimates of future sources of taxable income for the jurisdictions in which the Company operates and the periods over which deferred tax assets will </w:t>
      </w:r>
      <w:proofErr w:type="gramStart"/>
      <w:r w:rsidRPr="00A5205D">
        <w:rPr>
          <w:rFonts w:ascii="Arial" w:hAnsi="Arial" w:cs="Arial"/>
          <w:sz w:val="20"/>
        </w:rPr>
        <w:t>be realizable</w:t>
      </w:r>
      <w:proofErr w:type="gramEnd"/>
      <w:r w:rsidRPr="00A5205D">
        <w:rPr>
          <w:rFonts w:ascii="Arial" w:hAnsi="Arial" w:cs="Arial"/>
          <w:sz w:val="20"/>
        </w:rPr>
        <w:t>. In the event the Company determines that it will be able to realize all or part of its net deferred tax assets in the future, all or part of the valuation allowance will be reversed in the period in which the Company makes such determination. The release of all or part of the valuation allowance against deferred tax assets may cause greater volatility in the effective tax rate in the periods in which it is reversed.</w:t>
      </w:r>
    </w:p>
    <w:p w14:paraId="3CAC57B4" w14:textId="77777777" w:rsidR="000752C0" w:rsidRPr="00A5205D" w:rsidRDefault="000752C0" w:rsidP="00A5205D">
      <w:pPr>
        <w:spacing w:line="0" w:lineRule="atLeast"/>
        <w:ind w:left="360"/>
        <w:rPr>
          <w:rFonts w:ascii="Arial" w:hAnsi="Arial" w:cs="Arial"/>
          <w:sz w:val="20"/>
        </w:rPr>
      </w:pPr>
    </w:p>
    <w:p w14:paraId="3AAD5C06" w14:textId="77777777" w:rsidR="000752C0" w:rsidRPr="00A5205D" w:rsidRDefault="000752C0" w:rsidP="00A5205D">
      <w:pPr>
        <w:spacing w:line="0" w:lineRule="atLeast"/>
        <w:ind w:left="360"/>
        <w:contextualSpacing/>
        <w:jc w:val="both"/>
        <w:rPr>
          <w:rFonts w:ascii="Arial" w:hAnsi="Arial" w:cs="Arial"/>
          <w:sz w:val="20"/>
        </w:rPr>
      </w:pPr>
      <w:r w:rsidRPr="00A5205D">
        <w:rPr>
          <w:rFonts w:ascii="Arial" w:hAnsi="Arial" w:cs="Arial"/>
          <w:sz w:val="20"/>
        </w:rPr>
        <w:t>The Company recognizes a tax benefit from any uncertain tax positions only if they are more likely than not to be sustained upon examination based on the technical merits of the position. The amount of the accrual for which an exposure exists is measured as the largest amount of benefit determined on a cumulative probability basis that the Company believes is more likely than not to be realized upon ultimate settlement of the position. Components of the reserve are classified as either a current or long-term liability based on when the Company expects each of the items to be settled. Interest and penalties related to unrecognized tax benefits are recognized as a component of income tax expense.</w:t>
      </w:r>
    </w:p>
    <w:p w14:paraId="27B01E89" w14:textId="77777777" w:rsidR="000752C0" w:rsidRPr="00A5205D" w:rsidRDefault="000752C0" w:rsidP="00A5205D">
      <w:pPr>
        <w:spacing w:line="0" w:lineRule="atLeast"/>
        <w:ind w:left="360"/>
        <w:contextualSpacing/>
        <w:jc w:val="both"/>
        <w:rPr>
          <w:rFonts w:ascii="Arial" w:hAnsi="Arial" w:cs="Arial"/>
          <w:sz w:val="20"/>
        </w:rPr>
      </w:pPr>
    </w:p>
    <w:p w14:paraId="2A9024C5" w14:textId="77777777" w:rsidR="000752C0" w:rsidRPr="00A5205D" w:rsidRDefault="000752C0" w:rsidP="00A5205D">
      <w:pPr>
        <w:spacing w:line="0" w:lineRule="atLeast"/>
        <w:ind w:left="360"/>
        <w:contextualSpacing/>
        <w:jc w:val="both"/>
        <w:rPr>
          <w:rFonts w:ascii="Arial" w:hAnsi="Arial" w:cs="Arial"/>
          <w:sz w:val="20"/>
        </w:rPr>
      </w:pPr>
      <w:r w:rsidRPr="00A5205D">
        <w:rPr>
          <w:rFonts w:ascii="Arial" w:hAnsi="Arial" w:cs="Arial"/>
          <w:sz w:val="20"/>
        </w:rPr>
        <w:t xml:space="preserve">We consider the earnings of certain non-U.S. subsidiaries to be indefinitely invested outside the United States </w:t>
      </w:r>
      <w:proofErr w:type="gramStart"/>
      <w:r w:rsidRPr="00A5205D">
        <w:rPr>
          <w:rFonts w:ascii="Arial" w:hAnsi="Arial" w:cs="Arial"/>
          <w:sz w:val="20"/>
        </w:rPr>
        <w:t>on the basis of</w:t>
      </w:r>
      <w:proofErr w:type="gramEnd"/>
      <w:r w:rsidRPr="00A5205D">
        <w:rPr>
          <w:rFonts w:ascii="Arial" w:hAnsi="Arial" w:cs="Arial"/>
          <w:sz w:val="20"/>
        </w:rPr>
        <w:t xml:space="preserve"> estimates that future domestic cash generation will be sufficient to meet future domestic cash needs and our specific plans for reinvestment of those subsidiary earnings. We have not recorded a deferred tax liability related to the U.S. federal and state income taxes and foreign withholding taxes on any undistributed earnings of foreign subsidiaries indefinitely invested outside the United States. If we decide to repatriate the foreign earnings, we </w:t>
      </w:r>
      <w:proofErr w:type="gramStart"/>
      <w:r w:rsidRPr="00A5205D">
        <w:rPr>
          <w:rFonts w:ascii="Arial" w:hAnsi="Arial" w:cs="Arial"/>
          <w:sz w:val="20"/>
        </w:rPr>
        <w:t>would</w:t>
      </w:r>
      <w:proofErr w:type="gramEnd"/>
      <w:r w:rsidRPr="00A5205D">
        <w:rPr>
          <w:rFonts w:ascii="Arial" w:hAnsi="Arial" w:cs="Arial"/>
          <w:sz w:val="20"/>
        </w:rPr>
        <w:t xml:space="preserve"> need to adjust our income tax provision in the period we determined that the earnings will no longer be indefinitely invested outside the United States.</w:t>
      </w:r>
    </w:p>
    <w:p w14:paraId="76DF597A" w14:textId="77777777" w:rsidR="000752C0" w:rsidRPr="00A5205D" w:rsidRDefault="000752C0" w:rsidP="00A5205D">
      <w:pPr>
        <w:spacing w:line="0" w:lineRule="atLeast"/>
        <w:ind w:left="360"/>
        <w:contextualSpacing/>
        <w:jc w:val="both"/>
        <w:rPr>
          <w:rFonts w:ascii="Arial" w:hAnsi="Arial" w:cs="Arial"/>
          <w:sz w:val="20"/>
        </w:rPr>
      </w:pPr>
    </w:p>
    <w:p w14:paraId="71789B32" w14:textId="77777777"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Tax Receivable Agreement</w:t>
      </w:r>
      <w:r w:rsidRPr="00A5205D">
        <w:rPr>
          <w:rFonts w:ascii="Arial" w:hAnsi="Arial" w:cs="Arial"/>
          <w:i/>
          <w:iCs/>
          <w:sz w:val="20"/>
        </w:rPr>
        <w:t xml:space="preserve"> - </w:t>
      </w:r>
      <w:r w:rsidRPr="00A5205D">
        <w:rPr>
          <w:rFonts w:ascii="Arial" w:hAnsi="Arial" w:cs="Arial"/>
          <w:sz w:val="20"/>
        </w:rPr>
        <w:t>On February 16, 2021, the Company entered into a tax receivable agreement (TRA) with the Continuing LLC Owner that provides for the payment by the Company to the Continuing LLC Owner of 85% of the amount of tax benefits, if any, that the Company actually realizes as a result of (</w:t>
      </w:r>
      <w:proofErr w:type="spellStart"/>
      <w:r w:rsidRPr="00A5205D">
        <w:rPr>
          <w:rFonts w:ascii="Arial" w:hAnsi="Arial" w:cs="Arial"/>
          <w:sz w:val="20"/>
        </w:rPr>
        <w:t>i</w:t>
      </w:r>
      <w:proofErr w:type="spellEnd"/>
      <w:r w:rsidRPr="00A5205D">
        <w:rPr>
          <w:rFonts w:ascii="Arial" w:hAnsi="Arial" w:cs="Arial"/>
          <w:sz w:val="20"/>
        </w:rPr>
        <w:t>) increases in the tax basis of assets of BV LLC resulting from any redemptions or exchanges of LLC Interests or any prior sales of interests in BV LLC and (ii) certain other tax benefits related to our making payments under the TRA.</w:t>
      </w:r>
    </w:p>
    <w:p w14:paraId="3AE6D35C" w14:textId="77777777" w:rsidR="000752C0" w:rsidRPr="00A5205D" w:rsidRDefault="000752C0" w:rsidP="00A5205D">
      <w:pPr>
        <w:autoSpaceDE w:val="0"/>
        <w:autoSpaceDN w:val="0"/>
        <w:adjustRightInd w:val="0"/>
        <w:ind w:left="360"/>
        <w:rPr>
          <w:rFonts w:ascii="Arial" w:hAnsi="Arial" w:cs="Arial"/>
          <w:sz w:val="20"/>
        </w:rPr>
      </w:pPr>
    </w:p>
    <w:p w14:paraId="4447568D" w14:textId="77777777" w:rsidR="000752C0" w:rsidRPr="00A5205D" w:rsidRDefault="000752C0" w:rsidP="00A5205D">
      <w:pPr>
        <w:autoSpaceDE w:val="0"/>
        <w:autoSpaceDN w:val="0"/>
        <w:adjustRightInd w:val="0"/>
        <w:ind w:left="360"/>
        <w:rPr>
          <w:rFonts w:ascii="Arial" w:hAnsi="Arial" w:cs="Arial"/>
          <w:sz w:val="20"/>
        </w:rPr>
      </w:pPr>
      <w:r w:rsidRPr="00A5205D">
        <w:rPr>
          <w:rFonts w:ascii="Arial" w:hAnsi="Arial" w:cs="Arial"/>
          <w:sz w:val="20"/>
        </w:rPr>
        <w:t>The Company expects to obtain an increase in the share of the tax basis of the assets of BV LLC when LLC Interests are redeemed or exchanged by the Continuing LLC Owner and other qualifying transactions. This increase in tax basis may have the effect of reducing the amounts that the Company would otherwise pay in the future to various tax authorities. The increase in tax basis may also decrease gains (or increase losses) on future dispositions of certain capital assets to the extent tax basis is allocated to those capital assets.</w:t>
      </w:r>
    </w:p>
    <w:p w14:paraId="7FD028CC" w14:textId="77777777" w:rsidR="000752C0" w:rsidRPr="00A5205D" w:rsidRDefault="000752C0" w:rsidP="00A5205D">
      <w:pPr>
        <w:autoSpaceDE w:val="0"/>
        <w:autoSpaceDN w:val="0"/>
        <w:adjustRightInd w:val="0"/>
        <w:ind w:left="360"/>
        <w:rPr>
          <w:rFonts w:ascii="Arial" w:hAnsi="Arial" w:cs="Arial"/>
          <w:sz w:val="20"/>
        </w:rPr>
      </w:pPr>
    </w:p>
    <w:p w14:paraId="6FBA288C" w14:textId="77777777" w:rsidR="000752C0" w:rsidRPr="00A5205D" w:rsidRDefault="000752C0" w:rsidP="00A5205D">
      <w:pPr>
        <w:autoSpaceDE w:val="0"/>
        <w:autoSpaceDN w:val="0"/>
        <w:adjustRightInd w:val="0"/>
        <w:ind w:left="360"/>
        <w:rPr>
          <w:rFonts w:cstheme="minorHAnsi"/>
          <w:sz w:val="20"/>
        </w:rPr>
      </w:pPr>
      <w:r w:rsidRPr="00A5205D">
        <w:rPr>
          <w:rFonts w:ascii="Arial" w:hAnsi="Arial" w:cs="Arial"/>
          <w:sz w:val="20"/>
        </w:rPr>
        <w:t xml:space="preserve">The Company will maintain a full valuation allowance against deferred tax assets related to the tax attributes generated </w:t>
      </w:r>
      <w:proofErr w:type="gramStart"/>
      <w:r w:rsidRPr="00A5205D">
        <w:rPr>
          <w:rFonts w:ascii="Arial" w:hAnsi="Arial" w:cs="Arial"/>
          <w:sz w:val="20"/>
        </w:rPr>
        <w:t>as a result of</w:t>
      </w:r>
      <w:proofErr w:type="gramEnd"/>
      <w:r w:rsidRPr="00A5205D">
        <w:rPr>
          <w:rFonts w:ascii="Arial" w:hAnsi="Arial" w:cs="Arial"/>
          <w:sz w:val="20"/>
        </w:rPr>
        <w:t xml:space="preserve"> redemptions of LLC Interests or exchanges described above until it is determined that the benefits are </w:t>
      </w:r>
      <w:proofErr w:type="gramStart"/>
      <w:r w:rsidRPr="00A5205D">
        <w:rPr>
          <w:rFonts w:ascii="Arial" w:hAnsi="Arial" w:cs="Arial"/>
          <w:sz w:val="20"/>
        </w:rPr>
        <w:t>more-likely-than-not</w:t>
      </w:r>
      <w:proofErr w:type="gramEnd"/>
      <w:r w:rsidRPr="00A5205D">
        <w:rPr>
          <w:rFonts w:ascii="Arial" w:hAnsi="Arial" w:cs="Arial"/>
          <w:sz w:val="20"/>
        </w:rPr>
        <w:t xml:space="preserve"> to be realized</w:t>
      </w:r>
      <w:r w:rsidRPr="00A5205D">
        <w:rPr>
          <w:rFonts w:cstheme="minorHAnsi"/>
          <w:sz w:val="20"/>
        </w:rPr>
        <w:t xml:space="preserve">. </w:t>
      </w:r>
    </w:p>
    <w:p w14:paraId="323DBA18" w14:textId="77777777" w:rsidR="00DF7DFD" w:rsidRDefault="00DF7DFD">
      <w:pPr>
        <w:pStyle w:val="Heading2"/>
        <w:spacing w:line="0" w:lineRule="atLeast"/>
        <w:ind w:left="660"/>
        <w:rPr>
          <w:rFonts w:ascii="Arial" w:hAnsi="Arial" w:cs="Arial"/>
          <w:sz w:val="20"/>
        </w:rPr>
      </w:pPr>
    </w:p>
    <w:p w14:paraId="0518F4FA" w14:textId="77777777" w:rsidR="00DF7DFD" w:rsidRDefault="00F62BB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07" w:name="_Other_Comprehensive_Income"/>
      <w:bookmarkEnd w:id="107"/>
      <w:r>
        <w:rPr>
          <w:rFonts w:ascii="Century Gothic" w:hAnsi="Century Gothic" w:cs="Arial"/>
          <w:bCs w:val="0"/>
          <w:sz w:val="20"/>
        </w:rPr>
        <w:t>Other Comprehensive Income (Loss)</w:t>
      </w:r>
    </w:p>
    <w:p w14:paraId="297ACE86" w14:textId="5321677C" w:rsidR="00DF7DFD" w:rsidRDefault="00F62BB8">
      <w:pPr>
        <w:pStyle w:val="ListParagraph"/>
        <w:spacing w:line="0" w:lineRule="atLeast"/>
        <w:ind w:left="360"/>
        <w:contextualSpacing/>
        <w:jc w:val="both"/>
        <w:rPr>
          <w:rFonts w:ascii="Arial" w:hAnsi="Arial" w:cs="Arial"/>
          <w:sz w:val="20"/>
        </w:rPr>
      </w:pPr>
      <w:r w:rsidRPr="00E41CC5">
        <w:rPr>
          <w:rFonts w:ascii="Arial" w:hAnsi="Arial" w:cs="Arial"/>
          <w:sz w:val="20"/>
        </w:rPr>
        <w:t>Other comprehensive income (OCI) refers to gains and losses that are recorded as an element of equity (</w:t>
      </w:r>
      <w:r w:rsidR="00C55DA8" w:rsidRPr="00E41CC5">
        <w:rPr>
          <w:rFonts w:ascii="Arial" w:hAnsi="Arial" w:cs="Arial"/>
          <w:sz w:val="20"/>
        </w:rPr>
        <w:t xml:space="preserve">G/L account </w:t>
      </w:r>
      <w:r w:rsidR="00C55DA8" w:rsidRPr="00E41CC5">
        <w:rPr>
          <w:rFonts w:ascii="Arial" w:hAnsi="Arial"/>
          <w:sz w:val="20"/>
        </w:rPr>
        <w:t>3</w:t>
      </w:r>
      <w:r w:rsidRPr="00E41CC5">
        <w:rPr>
          <w:rFonts w:ascii="Arial" w:hAnsi="Arial"/>
          <w:sz w:val="20"/>
        </w:rPr>
        <w:t>33999</w:t>
      </w:r>
      <w:r w:rsidRPr="00E41CC5">
        <w:rPr>
          <w:rFonts w:ascii="Arial" w:hAnsi="Arial" w:cs="Arial"/>
          <w:sz w:val="20"/>
        </w:rPr>
        <w:t>) and are excluded</w:t>
      </w:r>
      <w:r>
        <w:rPr>
          <w:rFonts w:ascii="Arial" w:hAnsi="Arial" w:cs="Arial"/>
          <w:sz w:val="20"/>
        </w:rPr>
        <w:t xml:space="preserve"> from the statement of operations. The Company’s OCI has historically consisted of foreign currency translation adjustments from those subsidiaries where functional currency is not U.S. dollars as well as </w:t>
      </w:r>
      <w:r w:rsidR="005323FA">
        <w:rPr>
          <w:rFonts w:ascii="Arial" w:hAnsi="Arial" w:cs="Arial"/>
          <w:sz w:val="20"/>
        </w:rPr>
        <w:t>the</w:t>
      </w:r>
      <w:r w:rsidR="00D47FD9">
        <w:rPr>
          <w:rFonts w:ascii="Arial" w:hAnsi="Arial" w:cs="Arial"/>
          <w:sz w:val="20"/>
        </w:rPr>
        <w:t xml:space="preserve"> German </w:t>
      </w:r>
      <w:r>
        <w:rPr>
          <w:rFonts w:ascii="Arial" w:hAnsi="Arial" w:cs="Arial"/>
          <w:sz w:val="20"/>
        </w:rPr>
        <w:t xml:space="preserve">defined benefit plan adjustments </w:t>
      </w:r>
    </w:p>
    <w:p w14:paraId="6751AAE4" w14:textId="77777777" w:rsidR="00DF7DFD" w:rsidRDefault="00DF7DFD">
      <w:pPr>
        <w:pStyle w:val="ListParagraph"/>
        <w:spacing w:line="0" w:lineRule="atLeast"/>
        <w:ind w:left="1020"/>
        <w:contextualSpacing/>
        <w:jc w:val="both"/>
        <w:rPr>
          <w:rFonts w:ascii="Arial" w:hAnsi="Arial" w:cs="Arial"/>
          <w:sz w:val="20"/>
        </w:rPr>
      </w:pPr>
    </w:p>
    <w:p w14:paraId="4315E038" w14:textId="77777777" w:rsidR="00DF7DFD" w:rsidRDefault="00F62BB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08" w:name="_Derivatives"/>
      <w:bookmarkStart w:id="109" w:name="_Toc308509459"/>
      <w:bookmarkEnd w:id="108"/>
      <w:r>
        <w:rPr>
          <w:rFonts w:ascii="Century Gothic" w:hAnsi="Century Gothic" w:cs="Arial"/>
          <w:bCs w:val="0"/>
          <w:sz w:val="20"/>
        </w:rPr>
        <w:t>Derivatives</w:t>
      </w:r>
      <w:bookmarkEnd w:id="109"/>
    </w:p>
    <w:p w14:paraId="394793B2" w14:textId="6A1849C5" w:rsidR="00DF7DFD" w:rsidRDefault="00F62BB8">
      <w:pPr>
        <w:pStyle w:val="ListParagraph"/>
        <w:spacing w:line="0" w:lineRule="atLeast"/>
        <w:ind w:left="360"/>
        <w:contextualSpacing/>
        <w:jc w:val="both"/>
        <w:rPr>
          <w:rFonts w:ascii="Arial" w:hAnsi="Arial" w:cs="Arial"/>
          <w:sz w:val="20"/>
        </w:rPr>
      </w:pPr>
      <w:r>
        <w:rPr>
          <w:rFonts w:ascii="Arial" w:hAnsi="Arial" w:cs="Arial"/>
          <w:sz w:val="20"/>
        </w:rPr>
        <w:t xml:space="preserve">From time to time, the Company may </w:t>
      </w:r>
      <w:proofErr w:type="gramStart"/>
      <w:r>
        <w:rPr>
          <w:rFonts w:ascii="Arial" w:hAnsi="Arial" w:cs="Arial"/>
          <w:sz w:val="20"/>
        </w:rPr>
        <w:t>enter into</w:t>
      </w:r>
      <w:proofErr w:type="gramEnd"/>
      <w:r>
        <w:rPr>
          <w:rFonts w:ascii="Arial" w:hAnsi="Arial" w:cs="Arial"/>
          <w:sz w:val="20"/>
        </w:rPr>
        <w:t xml:space="preserve"> financial instruments </w:t>
      </w:r>
      <w:proofErr w:type="gramStart"/>
      <w:r>
        <w:rPr>
          <w:rFonts w:ascii="Arial" w:hAnsi="Arial" w:cs="Arial"/>
          <w:sz w:val="20"/>
        </w:rPr>
        <w:t>in order to</w:t>
      </w:r>
      <w:proofErr w:type="gramEnd"/>
      <w:r>
        <w:rPr>
          <w:rFonts w:ascii="Arial" w:hAnsi="Arial" w:cs="Arial"/>
          <w:sz w:val="20"/>
        </w:rPr>
        <w:t xml:space="preserve"> hedge a particular risk.  These instruments are not to be used without prior approval of the </w:t>
      </w:r>
      <w:r w:rsidRPr="00064AE4">
        <w:rPr>
          <w:rFonts w:ascii="Arial" w:hAnsi="Arial" w:cs="Arial"/>
          <w:sz w:val="20"/>
        </w:rPr>
        <w:t>C</w:t>
      </w:r>
      <w:r w:rsidR="00D55823" w:rsidRPr="00064AE4">
        <w:rPr>
          <w:rFonts w:ascii="Arial" w:hAnsi="Arial" w:cs="Arial"/>
          <w:sz w:val="20"/>
        </w:rPr>
        <w:t>F</w:t>
      </w:r>
      <w:r w:rsidRPr="00064AE4">
        <w:rPr>
          <w:rFonts w:ascii="Arial" w:hAnsi="Arial" w:cs="Arial"/>
          <w:sz w:val="20"/>
        </w:rPr>
        <w:t>O</w:t>
      </w:r>
      <w:r w:rsidRPr="00064AE4">
        <w:rPr>
          <w:rFonts w:ascii="Arial" w:hAnsi="Arial"/>
          <w:sz w:val="20"/>
        </w:rPr>
        <w:t>.</w:t>
      </w:r>
      <w:r w:rsidRPr="00064AE4">
        <w:rPr>
          <w:rFonts w:ascii="Arial" w:hAnsi="Arial" w:cs="Arial"/>
          <w:sz w:val="20"/>
        </w:rPr>
        <w:t xml:space="preserve">  These</w:t>
      </w:r>
      <w:r>
        <w:rPr>
          <w:rFonts w:ascii="Arial" w:hAnsi="Arial" w:cs="Arial"/>
          <w:sz w:val="20"/>
        </w:rPr>
        <w:t xml:space="preserve"> instruments are likely to include currency and interest rate options, swaps, etc.  A derivative as a financial instrument or other contract with </w:t>
      </w:r>
      <w:proofErr w:type="gramStart"/>
      <w:r>
        <w:rPr>
          <w:rFonts w:ascii="Arial" w:hAnsi="Arial" w:cs="Arial"/>
          <w:sz w:val="20"/>
        </w:rPr>
        <w:t>all of</w:t>
      </w:r>
      <w:proofErr w:type="gramEnd"/>
      <w:r>
        <w:rPr>
          <w:rFonts w:ascii="Arial" w:hAnsi="Arial" w:cs="Arial"/>
          <w:sz w:val="20"/>
        </w:rPr>
        <w:t xml:space="preserve"> the following characteristics:</w:t>
      </w:r>
    </w:p>
    <w:p w14:paraId="09F9D4DB" w14:textId="77777777" w:rsidR="00DF7DFD" w:rsidRDefault="00F62BB8" w:rsidP="002E594C">
      <w:pPr>
        <w:numPr>
          <w:ilvl w:val="0"/>
          <w:numId w:val="17"/>
        </w:numPr>
        <w:spacing w:line="0" w:lineRule="atLeast"/>
        <w:jc w:val="both"/>
        <w:rPr>
          <w:rFonts w:ascii="Arial" w:hAnsi="Arial" w:cs="Arial"/>
          <w:sz w:val="20"/>
        </w:rPr>
      </w:pPr>
      <w:r>
        <w:rPr>
          <w:rFonts w:ascii="Arial" w:hAnsi="Arial" w:cs="Arial"/>
          <w:sz w:val="20"/>
        </w:rPr>
        <w:t xml:space="preserve">The contract contains an underlying variable, such as an interest rate index, foreign exchange rate, or other </w:t>
      </w:r>
      <w:proofErr w:type="gramStart"/>
      <w:r>
        <w:rPr>
          <w:rFonts w:ascii="Arial" w:hAnsi="Arial" w:cs="Arial"/>
          <w:sz w:val="20"/>
        </w:rPr>
        <w:t>variable</w:t>
      </w:r>
      <w:proofErr w:type="gramEnd"/>
      <w:r>
        <w:rPr>
          <w:rFonts w:ascii="Arial" w:hAnsi="Arial" w:cs="Arial"/>
          <w:sz w:val="20"/>
        </w:rPr>
        <w:t xml:space="preserve"> (including the occurrence or nonoccurrence of a specified event, such as a scheduled contractual payment). The contract also contains a notional amount or a payment provision, or both, such as a fixed number of currency or other units specified in the contract. The underlying and the notional amount determine the amount of settlement, and in some cases, </w:t>
      </w:r>
      <w:proofErr w:type="gramStart"/>
      <w:r>
        <w:rPr>
          <w:rFonts w:ascii="Arial" w:hAnsi="Arial" w:cs="Arial"/>
          <w:sz w:val="20"/>
        </w:rPr>
        <w:t>whether or not</w:t>
      </w:r>
      <w:proofErr w:type="gramEnd"/>
      <w:r>
        <w:rPr>
          <w:rFonts w:ascii="Arial" w:hAnsi="Arial" w:cs="Arial"/>
          <w:sz w:val="20"/>
        </w:rPr>
        <w:t xml:space="preserve"> a settlement is required.</w:t>
      </w:r>
    </w:p>
    <w:p w14:paraId="50678A15" w14:textId="40D2EEE5" w:rsidR="00DF7DFD" w:rsidRDefault="00F62BB8" w:rsidP="002E594C">
      <w:pPr>
        <w:numPr>
          <w:ilvl w:val="0"/>
          <w:numId w:val="17"/>
        </w:numPr>
        <w:spacing w:line="0" w:lineRule="atLeast"/>
        <w:jc w:val="both"/>
        <w:rPr>
          <w:rFonts w:ascii="Arial" w:hAnsi="Arial" w:cs="Arial"/>
          <w:sz w:val="20"/>
        </w:rPr>
      </w:pPr>
      <w:r>
        <w:rPr>
          <w:rFonts w:ascii="Arial" w:hAnsi="Arial" w:cs="Arial"/>
          <w:sz w:val="20"/>
        </w:rPr>
        <w:t xml:space="preserve">The contract requires no initial net </w:t>
      </w:r>
      <w:r w:rsidR="00064AE4">
        <w:rPr>
          <w:rFonts w:ascii="Arial" w:hAnsi="Arial" w:cs="Arial"/>
          <w:sz w:val="20"/>
        </w:rPr>
        <w:t>investment,</w:t>
      </w:r>
      <w:r>
        <w:rPr>
          <w:rFonts w:ascii="Arial" w:hAnsi="Arial" w:cs="Arial"/>
          <w:sz w:val="20"/>
        </w:rPr>
        <w:t xml:space="preserve"> or it is smaller than would be required for other types of contracts that would be expected to have a similar response to changes in market factors. </w:t>
      </w:r>
    </w:p>
    <w:p w14:paraId="2F292E22" w14:textId="77777777" w:rsidR="00DF7DFD" w:rsidRDefault="00F62BB8" w:rsidP="002E594C">
      <w:pPr>
        <w:numPr>
          <w:ilvl w:val="0"/>
          <w:numId w:val="17"/>
        </w:numPr>
        <w:spacing w:line="0" w:lineRule="atLeast"/>
        <w:jc w:val="both"/>
        <w:rPr>
          <w:rFonts w:ascii="Arial" w:hAnsi="Arial" w:cs="Arial"/>
          <w:sz w:val="20"/>
        </w:rPr>
      </w:pPr>
      <w:r>
        <w:rPr>
          <w:rFonts w:ascii="Arial" w:hAnsi="Arial" w:cs="Arial"/>
          <w:sz w:val="20"/>
        </w:rPr>
        <w:t>The contract requires or permits net settlement.</w:t>
      </w:r>
    </w:p>
    <w:p w14:paraId="59DB9469" w14:textId="77777777" w:rsidR="00DF7DFD" w:rsidRDefault="00DF7DFD">
      <w:pPr>
        <w:pStyle w:val="BodyTextIndent"/>
        <w:tabs>
          <w:tab w:val="clear" w:pos="7560"/>
        </w:tabs>
        <w:spacing w:line="0" w:lineRule="atLeast"/>
        <w:ind w:left="1440" w:firstLine="0"/>
        <w:rPr>
          <w:rFonts w:ascii="Arial" w:hAnsi="Arial" w:cs="Arial"/>
          <w:b/>
          <w:bCs/>
          <w:sz w:val="20"/>
        </w:rPr>
      </w:pPr>
    </w:p>
    <w:p w14:paraId="57D9539D" w14:textId="77777777" w:rsidR="00DF7DFD" w:rsidRDefault="00F62BB8">
      <w:pPr>
        <w:pStyle w:val="ListParagraph"/>
        <w:spacing w:line="0" w:lineRule="atLeast"/>
        <w:ind w:left="360"/>
        <w:contextualSpacing/>
        <w:jc w:val="both"/>
        <w:rPr>
          <w:rFonts w:ascii="Arial" w:hAnsi="Arial" w:cs="Arial"/>
          <w:sz w:val="20"/>
        </w:rPr>
      </w:pPr>
      <w:r>
        <w:rPr>
          <w:rFonts w:ascii="Arial" w:hAnsi="Arial" w:cs="Arial"/>
          <w:sz w:val="20"/>
        </w:rPr>
        <w:t xml:space="preserve">All derivative instruments shall be </w:t>
      </w:r>
      <w:proofErr w:type="gramStart"/>
      <w:r>
        <w:rPr>
          <w:rFonts w:ascii="Arial" w:hAnsi="Arial" w:cs="Arial"/>
          <w:sz w:val="20"/>
        </w:rPr>
        <w:t>carried</w:t>
      </w:r>
      <w:proofErr w:type="gramEnd"/>
      <w:r>
        <w:rPr>
          <w:rFonts w:ascii="Arial" w:hAnsi="Arial" w:cs="Arial"/>
          <w:sz w:val="20"/>
        </w:rPr>
        <w:t xml:space="preserve"> at fair value as either assets or liabilities depending on the rights or obligations under the contracts. </w:t>
      </w:r>
      <w:bookmarkStart w:id="110" w:name="a-p-topic-815-10-25-subsect-01-113951__d"/>
      <w:bookmarkStart w:id="111" w:name="p25-2"/>
      <w:bookmarkEnd w:id="110"/>
      <w:bookmarkEnd w:id="111"/>
      <w:r>
        <w:rPr>
          <w:rFonts w:ascii="Arial" w:hAnsi="Arial" w:cs="Arial"/>
          <w:sz w:val="20"/>
        </w:rPr>
        <w:t>If the derivative instrument is designated as effectively hedged, the gain or loss is recorded in accumulated OCI (AOCI). If not effectively hedged, the gain or loss is recorded in the statement of operations.</w:t>
      </w:r>
    </w:p>
    <w:p w14:paraId="47699536" w14:textId="09EFCE49" w:rsidR="00DF7DFD" w:rsidRDefault="00F62BB8" w:rsidP="002E594C">
      <w:pPr>
        <w:numPr>
          <w:ilvl w:val="0"/>
          <w:numId w:val="17"/>
        </w:numPr>
        <w:spacing w:line="0" w:lineRule="atLeast"/>
        <w:jc w:val="both"/>
        <w:rPr>
          <w:rFonts w:ascii="Arial" w:hAnsi="Arial" w:cs="Arial"/>
          <w:sz w:val="20"/>
        </w:rPr>
      </w:pPr>
      <w:r>
        <w:rPr>
          <w:rFonts w:ascii="Arial" w:hAnsi="Arial" w:cs="Arial"/>
          <w:sz w:val="20"/>
        </w:rPr>
        <w:t>Derivatives may be “embedded” within commercial contracts.  All contracts which may contain embedded derivatives require authorization by the C</w:t>
      </w:r>
      <w:r w:rsidR="00D55823">
        <w:rPr>
          <w:rFonts w:ascii="Arial" w:hAnsi="Arial" w:cs="Arial"/>
          <w:sz w:val="20"/>
        </w:rPr>
        <w:t>F</w:t>
      </w:r>
      <w:r>
        <w:rPr>
          <w:rFonts w:ascii="Arial" w:hAnsi="Arial" w:cs="Arial"/>
          <w:sz w:val="20"/>
        </w:rPr>
        <w:t xml:space="preserve">O. </w:t>
      </w:r>
    </w:p>
    <w:p w14:paraId="388E1707" w14:textId="77777777" w:rsidR="00DF7DFD" w:rsidRDefault="00F62BB8" w:rsidP="002E594C">
      <w:pPr>
        <w:numPr>
          <w:ilvl w:val="0"/>
          <w:numId w:val="17"/>
        </w:numPr>
        <w:spacing w:line="0" w:lineRule="atLeast"/>
        <w:jc w:val="both"/>
        <w:rPr>
          <w:rFonts w:ascii="Arial" w:hAnsi="Arial" w:cs="Arial"/>
          <w:sz w:val="20"/>
        </w:rPr>
      </w:pPr>
      <w:r>
        <w:rPr>
          <w:rFonts w:ascii="Arial" w:hAnsi="Arial" w:cs="Arial"/>
          <w:sz w:val="20"/>
        </w:rPr>
        <w:t>The accounting for embedded derivatives may be complex and to ensure all contracts are acceptable prior to signature all contracts are to be reviewed by an appropriate manager (familiar with the basic principles of U.S. GAAP) before signature.  Contracts which contain “embedded derivatives” should be avoided where commercially possible.</w:t>
      </w:r>
    </w:p>
    <w:p w14:paraId="3E163C4A" w14:textId="77777777" w:rsidR="00DF7DFD" w:rsidRDefault="00F62BB8" w:rsidP="002E594C">
      <w:pPr>
        <w:numPr>
          <w:ilvl w:val="0"/>
          <w:numId w:val="17"/>
        </w:numPr>
        <w:spacing w:line="0" w:lineRule="atLeast"/>
        <w:jc w:val="both"/>
        <w:rPr>
          <w:rFonts w:ascii="Arial" w:hAnsi="Arial" w:cs="Arial"/>
          <w:sz w:val="20"/>
        </w:rPr>
      </w:pPr>
      <w:r>
        <w:rPr>
          <w:rFonts w:ascii="Arial" w:hAnsi="Arial" w:cs="Arial"/>
          <w:sz w:val="20"/>
        </w:rPr>
        <w:t xml:space="preserve">Embedded derivatives are derivatives within contracts that are not a derivative but contain an element which behaves in the same fashion as a commercially available derivative.  Embedded derivatives must be bifurcated (separated) from the host instrument and accounted for as derivatives when the economic characteristics and risks are not “clearly and closely” related to the economic characteristics and risks of the host contract. </w:t>
      </w:r>
    </w:p>
    <w:p w14:paraId="7613A711" w14:textId="77777777" w:rsidR="00DF7DFD" w:rsidRDefault="00F62BB8" w:rsidP="002E594C">
      <w:pPr>
        <w:numPr>
          <w:ilvl w:val="0"/>
          <w:numId w:val="17"/>
        </w:numPr>
        <w:spacing w:line="0" w:lineRule="atLeast"/>
        <w:jc w:val="both"/>
        <w:rPr>
          <w:rFonts w:ascii="Arial" w:hAnsi="Arial" w:cs="Arial"/>
          <w:sz w:val="20"/>
        </w:rPr>
      </w:pPr>
      <w:r>
        <w:rPr>
          <w:rFonts w:ascii="Arial" w:hAnsi="Arial" w:cs="Arial"/>
          <w:sz w:val="20"/>
        </w:rPr>
        <w:t xml:space="preserve">The </w:t>
      </w:r>
      <w:proofErr w:type="gramStart"/>
      <w:r>
        <w:rPr>
          <w:rFonts w:ascii="Arial" w:hAnsi="Arial" w:cs="Arial"/>
          <w:sz w:val="20"/>
        </w:rPr>
        <w:t>clearly</w:t>
      </w:r>
      <w:proofErr w:type="gramEnd"/>
      <w:r>
        <w:rPr>
          <w:rFonts w:ascii="Arial" w:hAnsi="Arial" w:cs="Arial"/>
          <w:sz w:val="20"/>
        </w:rPr>
        <w:t xml:space="preserve"> and closely related evaluation generally refers to a comparison of the nature of the underlying in the embedded derivative to the host instrument. The underlying, which causes the value of the derivative to fluctuate, must be related to the inherent economic nature of the host instrument.</w:t>
      </w:r>
    </w:p>
    <w:p w14:paraId="6AFD1C40" w14:textId="77777777" w:rsidR="00DF7DFD" w:rsidRDefault="00F62BB8" w:rsidP="002E594C">
      <w:pPr>
        <w:numPr>
          <w:ilvl w:val="0"/>
          <w:numId w:val="17"/>
        </w:numPr>
        <w:spacing w:line="0" w:lineRule="atLeast"/>
        <w:jc w:val="both"/>
        <w:rPr>
          <w:rFonts w:ascii="Arial" w:hAnsi="Arial" w:cs="Arial"/>
          <w:sz w:val="20"/>
        </w:rPr>
      </w:pPr>
      <w:r>
        <w:rPr>
          <w:rFonts w:ascii="Arial" w:hAnsi="Arial" w:cs="Arial"/>
          <w:sz w:val="20"/>
        </w:rPr>
        <w:t xml:space="preserve">An example of an embedded derivative is a debt instrument that has interest payments that fluctuate with the changes in LIBOR or the Standard and Poor’s (S&amp;P) 500 index. The underlying is LIBOR or the S&amp;P 500 index.  Changes in LIBOR are closely related to the interest rate-based economic characteristics of debt and would not have to be bifurcated.  The S&amp;P 500 index is not clearly and closely related to the interest rate-based economic characteristics of debt and as a result would be </w:t>
      </w:r>
      <w:proofErr w:type="gramStart"/>
      <w:r>
        <w:rPr>
          <w:rFonts w:ascii="Arial" w:hAnsi="Arial" w:cs="Arial"/>
          <w:sz w:val="20"/>
        </w:rPr>
        <w:t>bifurcated</w:t>
      </w:r>
      <w:proofErr w:type="gramEnd"/>
      <w:r>
        <w:rPr>
          <w:rFonts w:ascii="Arial" w:hAnsi="Arial" w:cs="Arial"/>
          <w:sz w:val="20"/>
        </w:rPr>
        <w:t>.</w:t>
      </w:r>
    </w:p>
    <w:p w14:paraId="0B31C4CE" w14:textId="2E249339" w:rsidR="00DF7DFD" w:rsidRDefault="00F62BB8" w:rsidP="002E594C">
      <w:pPr>
        <w:numPr>
          <w:ilvl w:val="0"/>
          <w:numId w:val="17"/>
        </w:numPr>
        <w:spacing w:line="0" w:lineRule="atLeast"/>
        <w:jc w:val="both"/>
        <w:rPr>
          <w:rFonts w:ascii="Arial" w:hAnsi="Arial" w:cs="Arial"/>
          <w:sz w:val="20"/>
        </w:rPr>
      </w:pPr>
      <w:r>
        <w:rPr>
          <w:rFonts w:ascii="Arial" w:hAnsi="Arial" w:cs="Arial"/>
          <w:sz w:val="20"/>
        </w:rPr>
        <w:t xml:space="preserve">If there </w:t>
      </w:r>
      <w:r w:rsidRPr="00064AE4">
        <w:rPr>
          <w:rFonts w:ascii="Arial" w:hAnsi="Arial" w:cs="Arial"/>
          <w:sz w:val="20"/>
        </w:rPr>
        <w:t>is any doubt as to whether a contract contains an embedded derivative, the details should be referred to the D</w:t>
      </w:r>
      <w:r w:rsidR="00B34815" w:rsidRPr="00064AE4">
        <w:rPr>
          <w:rFonts w:ascii="Arial" w:hAnsi="Arial" w:cs="Arial"/>
          <w:sz w:val="20"/>
        </w:rPr>
        <w:t>ir, TA</w:t>
      </w:r>
      <w:r w:rsidRPr="00064AE4">
        <w:rPr>
          <w:rFonts w:ascii="Arial" w:hAnsi="Arial" w:cs="Arial"/>
          <w:sz w:val="20"/>
        </w:rPr>
        <w:t xml:space="preserve"> for evaluation</w:t>
      </w:r>
      <w:r>
        <w:rPr>
          <w:rFonts w:ascii="Arial" w:hAnsi="Arial" w:cs="Arial"/>
          <w:sz w:val="20"/>
        </w:rPr>
        <w:t>.</w:t>
      </w:r>
    </w:p>
    <w:p w14:paraId="0AFEA86C" w14:textId="77777777" w:rsidR="00DF7DFD" w:rsidRDefault="00DF7DFD" w:rsidP="009D7A9F">
      <w:pPr>
        <w:rPr>
          <w:rFonts w:ascii="Arial" w:hAnsi="Arial" w:cs="Arial"/>
          <w:sz w:val="20"/>
        </w:rPr>
      </w:pPr>
    </w:p>
    <w:p w14:paraId="35B5F8DB" w14:textId="77777777" w:rsidR="00DF7DFD" w:rsidRDefault="00F62BB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12" w:name="_Management_Charges"/>
      <w:bookmarkStart w:id="113" w:name="_Toc308509461"/>
      <w:bookmarkEnd w:id="112"/>
      <w:r>
        <w:rPr>
          <w:rFonts w:ascii="Century Gothic" w:hAnsi="Century Gothic" w:cs="Arial"/>
          <w:bCs w:val="0"/>
          <w:sz w:val="20"/>
        </w:rPr>
        <w:t>Management Charges</w:t>
      </w:r>
      <w:bookmarkEnd w:id="113"/>
    </w:p>
    <w:p w14:paraId="2118BA69" w14:textId="35B24386" w:rsidR="00DF7DFD" w:rsidRDefault="00F62BB8">
      <w:pPr>
        <w:pStyle w:val="ListParagraph"/>
        <w:spacing w:line="0" w:lineRule="atLeast"/>
        <w:ind w:left="360"/>
        <w:contextualSpacing/>
        <w:jc w:val="both"/>
        <w:rPr>
          <w:rFonts w:ascii="Arial" w:hAnsi="Arial" w:cs="Arial"/>
          <w:sz w:val="20"/>
        </w:rPr>
      </w:pPr>
      <w:r>
        <w:rPr>
          <w:rFonts w:ascii="Arial" w:hAnsi="Arial" w:cs="Arial"/>
          <w:sz w:val="20"/>
        </w:rPr>
        <w:t xml:space="preserve">Costs of corporate headquarters are recovered from the </w:t>
      </w:r>
      <w:proofErr w:type="gramStart"/>
      <w:r>
        <w:rPr>
          <w:rFonts w:ascii="Arial" w:hAnsi="Arial" w:cs="Arial"/>
          <w:sz w:val="20"/>
        </w:rPr>
        <w:t>International</w:t>
      </w:r>
      <w:proofErr w:type="gramEnd"/>
      <w:r>
        <w:rPr>
          <w:rFonts w:ascii="Arial" w:hAnsi="Arial" w:cs="Arial"/>
          <w:sz w:val="20"/>
        </w:rPr>
        <w:t xml:space="preserve"> segment through a management charge.  </w:t>
      </w:r>
      <w:r w:rsidR="008F27F7">
        <w:rPr>
          <w:rFonts w:ascii="Arial" w:hAnsi="Arial" w:cs="Arial"/>
          <w:sz w:val="20"/>
        </w:rPr>
        <w:t>Other monthly charges may include payroll and other cost items as incurred. O</w:t>
      </w:r>
      <w:r>
        <w:rPr>
          <w:rFonts w:ascii="Arial" w:hAnsi="Arial" w:cs="Arial"/>
          <w:sz w:val="20"/>
        </w:rPr>
        <w:t>ther cross charges</w:t>
      </w:r>
      <w:r w:rsidR="008F27F7">
        <w:rPr>
          <w:rFonts w:ascii="Arial" w:hAnsi="Arial" w:cs="Arial"/>
          <w:sz w:val="20"/>
        </w:rPr>
        <w:t xml:space="preserve"> such as </w:t>
      </w:r>
      <w:r>
        <w:rPr>
          <w:rFonts w:ascii="Arial" w:hAnsi="Arial" w:cs="Arial"/>
          <w:sz w:val="20"/>
        </w:rPr>
        <w:t xml:space="preserve">royalties, changes in transfer pricing, etc., </w:t>
      </w:r>
      <w:r w:rsidR="008F27F7">
        <w:rPr>
          <w:rFonts w:ascii="Arial" w:hAnsi="Arial" w:cs="Arial"/>
          <w:sz w:val="20"/>
        </w:rPr>
        <w:t>should not be m</w:t>
      </w:r>
      <w:r>
        <w:rPr>
          <w:rFonts w:ascii="Arial" w:hAnsi="Arial" w:cs="Arial"/>
          <w:sz w:val="20"/>
        </w:rPr>
        <w:t xml:space="preserve">ade without specific approval of the </w:t>
      </w:r>
      <w:r w:rsidR="003B7C69" w:rsidRPr="00064AE4">
        <w:rPr>
          <w:rFonts w:ascii="Arial" w:hAnsi="Arial" w:cs="Arial"/>
          <w:sz w:val="20"/>
        </w:rPr>
        <w:t xml:space="preserve">CAO, </w:t>
      </w:r>
      <w:r w:rsidRPr="00064AE4">
        <w:rPr>
          <w:rFonts w:ascii="Arial" w:hAnsi="Arial"/>
          <w:sz w:val="20"/>
        </w:rPr>
        <w:t>C</w:t>
      </w:r>
      <w:r w:rsidR="00D55823" w:rsidRPr="00064AE4">
        <w:rPr>
          <w:rFonts w:ascii="Arial" w:hAnsi="Arial"/>
          <w:sz w:val="20"/>
        </w:rPr>
        <w:t>F</w:t>
      </w:r>
      <w:r w:rsidRPr="00064AE4">
        <w:rPr>
          <w:rFonts w:ascii="Arial" w:hAnsi="Arial"/>
          <w:sz w:val="20"/>
        </w:rPr>
        <w:t xml:space="preserve">O </w:t>
      </w:r>
      <w:r w:rsidR="003B7C69" w:rsidRPr="00064AE4">
        <w:rPr>
          <w:rFonts w:ascii="Arial" w:hAnsi="Arial" w:cs="Arial"/>
          <w:sz w:val="20"/>
        </w:rPr>
        <w:t>and Dir, Tax.</w:t>
      </w:r>
    </w:p>
    <w:p w14:paraId="4CB4013F" w14:textId="77777777" w:rsidR="00DF7DFD" w:rsidRDefault="00DF7DFD">
      <w:pPr>
        <w:tabs>
          <w:tab w:val="left" w:pos="657"/>
          <w:tab w:val="left" w:pos="1821"/>
        </w:tabs>
        <w:spacing w:line="0" w:lineRule="atLeast"/>
        <w:ind w:firstLine="1815"/>
        <w:jc w:val="both"/>
        <w:rPr>
          <w:rFonts w:ascii="Arial" w:hAnsi="Arial" w:cs="Arial"/>
          <w:sz w:val="20"/>
        </w:rPr>
      </w:pPr>
    </w:p>
    <w:p w14:paraId="30A0A315" w14:textId="77777777" w:rsidR="00DF7DFD" w:rsidRDefault="00F62BB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14" w:name="_Toc233530061"/>
      <w:bookmarkStart w:id="115" w:name="_Foreign_Currency"/>
      <w:bookmarkStart w:id="116" w:name="_Toc308509465"/>
      <w:bookmarkEnd w:id="114"/>
      <w:bookmarkEnd w:id="115"/>
      <w:r>
        <w:rPr>
          <w:rFonts w:ascii="Century Gothic" w:hAnsi="Century Gothic" w:cs="Arial"/>
          <w:bCs w:val="0"/>
          <w:sz w:val="20"/>
        </w:rPr>
        <w:t xml:space="preserve">Foreign Currency </w:t>
      </w:r>
      <w:bookmarkEnd w:id="116"/>
    </w:p>
    <w:p w14:paraId="1D9D2443" w14:textId="77777777" w:rsidR="00DF7DFD" w:rsidRDefault="00F62BB8">
      <w:pPr>
        <w:pStyle w:val="ListParagraph"/>
        <w:spacing w:line="0" w:lineRule="atLeast"/>
        <w:ind w:left="360"/>
        <w:contextualSpacing/>
        <w:jc w:val="both"/>
        <w:rPr>
          <w:rFonts w:ascii="Arial" w:hAnsi="Arial" w:cs="Arial"/>
          <w:sz w:val="20"/>
        </w:rPr>
      </w:pPr>
      <w:r>
        <w:rPr>
          <w:rFonts w:ascii="Arial" w:hAnsi="Arial" w:cs="Arial"/>
          <w:sz w:val="20"/>
        </w:rPr>
        <w:t xml:space="preserve">The assets, liabilities, and operations of a foreign entity shall be measured using the functional currency of that entity. An entity’s functional currency is the currency of the primary economic environment in which the entity operates, primarily generates and expends cash.  The functional currency of an intermediate holding company is most often the same functional currency as its parent. In a scenario where a company is not functioning in any role in which its parent itself could not function, it </w:t>
      </w:r>
      <w:proofErr w:type="gramStart"/>
      <w:r>
        <w:rPr>
          <w:rFonts w:ascii="Arial" w:hAnsi="Arial" w:cs="Arial"/>
          <w:sz w:val="20"/>
        </w:rPr>
        <w:t>is considered to be</w:t>
      </w:r>
      <w:proofErr w:type="gramEnd"/>
      <w:r>
        <w:rPr>
          <w:rFonts w:ascii="Arial" w:hAnsi="Arial" w:cs="Arial"/>
          <w:sz w:val="20"/>
        </w:rPr>
        <w:t xml:space="preserve"> an extension of the U.S. parent’s </w:t>
      </w:r>
      <w:proofErr w:type="gramStart"/>
      <w:r>
        <w:rPr>
          <w:rFonts w:ascii="Arial" w:hAnsi="Arial" w:cs="Arial"/>
          <w:sz w:val="20"/>
        </w:rPr>
        <w:t>operations</w:t>
      </w:r>
      <w:proofErr w:type="gramEnd"/>
      <w:r>
        <w:rPr>
          <w:rFonts w:ascii="Arial" w:hAnsi="Arial" w:cs="Arial"/>
          <w:sz w:val="20"/>
        </w:rPr>
        <w:t xml:space="preserve"> and the functional currency would be the same as that of its parent.  If an entity’s books of record are not maintained in its functional currency, remeasurement into the functional currency is required before translation into the reporting currency.</w:t>
      </w:r>
    </w:p>
    <w:p w14:paraId="3084EAB1" w14:textId="77777777" w:rsidR="00DF7DFD" w:rsidRDefault="00DF7DFD">
      <w:pPr>
        <w:pStyle w:val="ListParagraph"/>
        <w:spacing w:line="0" w:lineRule="atLeast"/>
        <w:ind w:left="360"/>
        <w:contextualSpacing/>
        <w:jc w:val="both"/>
        <w:rPr>
          <w:rFonts w:ascii="Arial" w:hAnsi="Arial" w:cs="Arial"/>
          <w:sz w:val="20"/>
        </w:rPr>
      </w:pPr>
    </w:p>
    <w:p w14:paraId="762C65A9" w14:textId="1815B0CE" w:rsidR="00DF7DFD" w:rsidRPr="00E41CC5" w:rsidRDefault="00F62BB8">
      <w:pPr>
        <w:pStyle w:val="ListParagraph"/>
        <w:spacing w:line="0" w:lineRule="atLeast"/>
        <w:ind w:left="360"/>
        <w:contextualSpacing/>
        <w:jc w:val="both"/>
        <w:rPr>
          <w:rFonts w:ascii="Arial" w:hAnsi="Arial" w:cs="Arial"/>
          <w:sz w:val="20"/>
        </w:rPr>
      </w:pPr>
      <w:r>
        <w:rPr>
          <w:rFonts w:ascii="Arial" w:hAnsi="Arial" w:cs="Arial"/>
          <w:sz w:val="20"/>
        </w:rPr>
        <w:t xml:space="preserve">Monetary assets and liabilities should be </w:t>
      </w:r>
      <w:proofErr w:type="gramStart"/>
      <w:r>
        <w:rPr>
          <w:rFonts w:ascii="Arial" w:hAnsi="Arial" w:cs="Arial"/>
          <w:sz w:val="20"/>
        </w:rPr>
        <w:t>remeasured</w:t>
      </w:r>
      <w:proofErr w:type="gramEnd"/>
      <w:r>
        <w:rPr>
          <w:rFonts w:ascii="Arial" w:hAnsi="Arial" w:cs="Arial"/>
          <w:sz w:val="20"/>
        </w:rPr>
        <w:t xml:space="preserve"> each reporting period </w:t>
      </w:r>
      <w:r w:rsidRPr="00E41CC5">
        <w:rPr>
          <w:rFonts w:ascii="Arial" w:hAnsi="Arial" w:cs="Arial"/>
          <w:sz w:val="20"/>
        </w:rPr>
        <w:t>because they represent changes in the amount of the functional currency cash flows necessary to settle the transaction.  The gains (losses) recognized in the statement of operations as unrealized gains (losses) (</w:t>
      </w:r>
      <w:r w:rsidR="00C55DA8" w:rsidRPr="00E41CC5">
        <w:rPr>
          <w:rFonts w:ascii="Arial" w:hAnsi="Arial" w:cs="Arial"/>
          <w:sz w:val="20"/>
        </w:rPr>
        <w:t xml:space="preserve">G/L account </w:t>
      </w:r>
      <w:r w:rsidR="00C55DA8" w:rsidRPr="00E41CC5">
        <w:rPr>
          <w:rFonts w:ascii="Arial" w:hAnsi="Arial"/>
          <w:sz w:val="20"/>
        </w:rPr>
        <w:t>7</w:t>
      </w:r>
      <w:r w:rsidRPr="00E41CC5">
        <w:rPr>
          <w:rFonts w:ascii="Arial" w:hAnsi="Arial"/>
          <w:sz w:val="20"/>
        </w:rPr>
        <w:t>00420</w:t>
      </w:r>
      <w:r w:rsidRPr="00E41CC5">
        <w:rPr>
          <w:rFonts w:ascii="Arial" w:hAnsi="Arial" w:cs="Arial"/>
          <w:sz w:val="20"/>
        </w:rPr>
        <w:t xml:space="preserve">).  When the transaction is settled with a cash transaction, the difference between the original receivable/payable at the date of the original transaction and the revised receivable/payable at the date of settlement results in a realized gain/loss on the income statement. Accounting guidance defines monetary assets as money or </w:t>
      </w:r>
      <w:proofErr w:type="gramStart"/>
      <w:r w:rsidRPr="00E41CC5">
        <w:rPr>
          <w:rFonts w:ascii="Arial" w:hAnsi="Arial" w:cs="Arial"/>
          <w:sz w:val="20"/>
        </w:rPr>
        <w:t>claim</w:t>
      </w:r>
      <w:proofErr w:type="gramEnd"/>
      <w:r w:rsidRPr="00E41CC5">
        <w:rPr>
          <w:rFonts w:ascii="Arial" w:hAnsi="Arial" w:cs="Arial"/>
          <w:sz w:val="20"/>
        </w:rPr>
        <w:t xml:space="preserve"> to receive a sum of </w:t>
      </w:r>
      <w:proofErr w:type="gramStart"/>
      <w:r w:rsidRPr="00E41CC5">
        <w:rPr>
          <w:rFonts w:ascii="Arial" w:hAnsi="Arial" w:cs="Arial"/>
          <w:sz w:val="20"/>
        </w:rPr>
        <w:t>money</w:t>
      </w:r>
      <w:proofErr w:type="gramEnd"/>
      <w:r w:rsidRPr="00E41CC5">
        <w:rPr>
          <w:rFonts w:ascii="Arial" w:hAnsi="Arial" w:cs="Arial"/>
          <w:sz w:val="20"/>
        </w:rPr>
        <w:t xml:space="preserve"> the amount of which is fixed or determinable without reference to future prices of specific goods or services.</w:t>
      </w:r>
    </w:p>
    <w:p w14:paraId="2044EAAD" w14:textId="77777777" w:rsidR="00DF7DFD" w:rsidRPr="00E41CC5" w:rsidRDefault="00DF7DFD">
      <w:pPr>
        <w:pStyle w:val="ListParagraph"/>
        <w:spacing w:line="0" w:lineRule="atLeast"/>
        <w:ind w:left="360"/>
        <w:contextualSpacing/>
        <w:jc w:val="both"/>
        <w:rPr>
          <w:rFonts w:ascii="Arial" w:hAnsi="Arial" w:cs="Arial"/>
          <w:sz w:val="20"/>
        </w:rPr>
      </w:pPr>
    </w:p>
    <w:p w14:paraId="0EEBA014" w14:textId="2FF16D52" w:rsidR="00DF7DFD" w:rsidRDefault="00F62BB8">
      <w:pPr>
        <w:pStyle w:val="ListParagraph"/>
        <w:spacing w:line="0" w:lineRule="atLeast"/>
        <w:ind w:left="360"/>
        <w:contextualSpacing/>
        <w:jc w:val="both"/>
        <w:rPr>
          <w:rFonts w:ascii="Arial" w:hAnsi="Arial" w:cs="Arial"/>
          <w:sz w:val="20"/>
        </w:rPr>
      </w:pPr>
      <w:r w:rsidRPr="00E41CC5">
        <w:rPr>
          <w:rFonts w:ascii="Arial" w:hAnsi="Arial" w:cs="Arial"/>
          <w:sz w:val="20"/>
        </w:rPr>
        <w:t>Transaction gains (losses) are generally recognized in the statement of operations as realized gains/losses (</w:t>
      </w:r>
      <w:r w:rsidR="00C55DA8" w:rsidRPr="00E41CC5">
        <w:rPr>
          <w:rFonts w:ascii="Arial" w:hAnsi="Arial" w:cs="Arial"/>
          <w:sz w:val="20"/>
        </w:rPr>
        <w:t xml:space="preserve">G/L account </w:t>
      </w:r>
      <w:r w:rsidR="00C55DA8" w:rsidRPr="00E41CC5">
        <w:rPr>
          <w:rFonts w:ascii="Arial" w:hAnsi="Arial"/>
          <w:sz w:val="20"/>
        </w:rPr>
        <w:t>7</w:t>
      </w:r>
      <w:r w:rsidRPr="00E41CC5">
        <w:rPr>
          <w:rFonts w:ascii="Arial" w:hAnsi="Arial"/>
          <w:sz w:val="20"/>
        </w:rPr>
        <w:t>00400</w:t>
      </w:r>
      <w:r w:rsidRPr="00E41CC5">
        <w:rPr>
          <w:rFonts w:ascii="Arial" w:hAnsi="Arial" w:cs="Arial"/>
          <w:sz w:val="20"/>
        </w:rPr>
        <w:t>) in the period in which the transaction is settled.   Translation is the process used for reporting the financial results of a foreign subsidiary in the parent entity’s consolidated</w:t>
      </w:r>
      <w:r>
        <w:rPr>
          <w:rFonts w:ascii="Arial" w:hAnsi="Arial" w:cs="Arial"/>
          <w:sz w:val="20"/>
        </w:rPr>
        <w:t xml:space="preserve"> financial statements when the functional currency is different from the parent’s.  Translation adjustments resulting from translating the entity’s financial statements into the reporting currency are reported in AOCI.  All elements of financial statements shall be translated by using </w:t>
      </w:r>
      <w:proofErr w:type="gramStart"/>
      <w:r>
        <w:rPr>
          <w:rFonts w:ascii="Arial" w:hAnsi="Arial" w:cs="Arial"/>
          <w:sz w:val="20"/>
        </w:rPr>
        <w:t>a current</w:t>
      </w:r>
      <w:proofErr w:type="gramEnd"/>
      <w:r>
        <w:rPr>
          <w:rFonts w:ascii="Arial" w:hAnsi="Arial" w:cs="Arial"/>
          <w:sz w:val="20"/>
        </w:rPr>
        <w:t xml:space="preserve"> exchange rate as follows:</w:t>
      </w:r>
    </w:p>
    <w:p w14:paraId="0068DFB5" w14:textId="77777777" w:rsidR="00DF7DFD" w:rsidRDefault="00F62BB8" w:rsidP="00362296">
      <w:pPr>
        <w:numPr>
          <w:ilvl w:val="0"/>
          <w:numId w:val="23"/>
        </w:numPr>
        <w:spacing w:line="0" w:lineRule="atLeast"/>
        <w:jc w:val="both"/>
        <w:rPr>
          <w:rFonts w:ascii="Arial" w:hAnsi="Arial" w:cs="Arial"/>
          <w:sz w:val="20"/>
        </w:rPr>
      </w:pPr>
      <w:r>
        <w:rPr>
          <w:rFonts w:ascii="Arial" w:hAnsi="Arial" w:cs="Arial"/>
          <w:sz w:val="20"/>
        </w:rPr>
        <w:t>For assets and liabilities, the exchange rate at the balance sheet date shall be used.</w:t>
      </w:r>
    </w:p>
    <w:p w14:paraId="525ADE52" w14:textId="77777777" w:rsidR="00DF7DFD" w:rsidRDefault="00F62BB8" w:rsidP="00362296">
      <w:pPr>
        <w:numPr>
          <w:ilvl w:val="0"/>
          <w:numId w:val="23"/>
        </w:numPr>
        <w:spacing w:line="0" w:lineRule="atLeast"/>
        <w:jc w:val="both"/>
        <w:rPr>
          <w:rFonts w:ascii="Arial" w:hAnsi="Arial" w:cs="Arial"/>
          <w:sz w:val="20"/>
        </w:rPr>
      </w:pPr>
      <w:r>
        <w:rPr>
          <w:rFonts w:ascii="Arial" w:hAnsi="Arial" w:cs="Arial"/>
          <w:sz w:val="20"/>
        </w:rPr>
        <w:t>For revenues, expenses, gains, and losses, the exchange rate at the dates on which those elements are recognized shall be used.</w:t>
      </w:r>
    </w:p>
    <w:p w14:paraId="030FD925" w14:textId="77777777" w:rsidR="00DF7DFD" w:rsidRDefault="00DF7DFD">
      <w:pPr>
        <w:pStyle w:val="ListParagraph"/>
        <w:spacing w:line="0" w:lineRule="atLeast"/>
        <w:ind w:left="1080"/>
        <w:contextualSpacing/>
        <w:jc w:val="both"/>
        <w:rPr>
          <w:rFonts w:ascii="Arial" w:hAnsi="Arial" w:cs="Arial"/>
          <w:sz w:val="20"/>
        </w:rPr>
      </w:pPr>
    </w:p>
    <w:p w14:paraId="120A0AC7" w14:textId="77777777" w:rsidR="00DF7DFD" w:rsidRDefault="00F62BB8">
      <w:pPr>
        <w:pStyle w:val="ListParagraph"/>
        <w:spacing w:line="0" w:lineRule="atLeast"/>
        <w:ind w:left="360"/>
        <w:contextualSpacing/>
        <w:jc w:val="both"/>
        <w:rPr>
          <w:rFonts w:ascii="Arial" w:hAnsi="Arial" w:cs="Arial"/>
          <w:sz w:val="20"/>
        </w:rPr>
      </w:pPr>
      <w:r>
        <w:rPr>
          <w:rFonts w:ascii="Arial" w:hAnsi="Arial" w:cs="Arial"/>
          <w:sz w:val="20"/>
          <w:szCs w:val="20"/>
        </w:rPr>
        <w:t>Capital accounts in equity such as common stock or paid-in capital should be translated at historical rates. This is necessary to accomplish the elimination of the parent’s investment and the subsidiary’s capital accounts when consolidating. Capital transactions such as dividends and investments should be translated at exchange rates on the date they are recognized by both the parent and subsidiary, which presumably would be the same date. Retained earnings represents accumulated net income (loss) and is translated as an accumulation of historic (daily rate) exchange rate for each transaction for the period</w:t>
      </w:r>
      <w:r>
        <w:rPr>
          <w:rFonts w:ascii="Arial" w:hAnsi="Arial" w:cs="Arial"/>
          <w:sz w:val="20"/>
        </w:rPr>
        <w:t xml:space="preserve">.  </w:t>
      </w:r>
    </w:p>
    <w:p w14:paraId="264C3FD3" w14:textId="77777777" w:rsidR="00DF7DFD" w:rsidRDefault="00DF7DFD">
      <w:pPr>
        <w:pStyle w:val="ListParagraph"/>
        <w:spacing w:line="0" w:lineRule="atLeast"/>
        <w:ind w:left="1020"/>
        <w:contextualSpacing/>
        <w:jc w:val="both"/>
        <w:rPr>
          <w:rFonts w:ascii="Arial" w:hAnsi="Arial" w:cs="Arial"/>
          <w:sz w:val="20"/>
        </w:rPr>
      </w:pPr>
    </w:p>
    <w:p w14:paraId="56394FBA" w14:textId="16351814" w:rsidR="00DF7DFD" w:rsidRDefault="00F62BB8">
      <w:pPr>
        <w:pStyle w:val="ListParagraph"/>
        <w:spacing w:line="0" w:lineRule="atLeast"/>
        <w:ind w:left="360"/>
        <w:contextualSpacing/>
        <w:jc w:val="both"/>
        <w:rPr>
          <w:rFonts w:ascii="Arial" w:hAnsi="Arial" w:cs="Arial"/>
          <w:sz w:val="20"/>
        </w:rPr>
      </w:pPr>
      <w:r>
        <w:rPr>
          <w:rFonts w:ascii="Arial" w:hAnsi="Arial" w:cs="Arial"/>
          <w:sz w:val="20"/>
        </w:rPr>
        <w:t>Although the financial statements should not be adjusted for a rate change that occurs after the report date, significant effects on unsettled foreign currency transactions of a rate change</w:t>
      </w:r>
      <w:r w:rsidR="00362296">
        <w:rPr>
          <w:rFonts w:ascii="Arial" w:hAnsi="Arial" w:cs="Arial"/>
          <w:sz w:val="20"/>
        </w:rPr>
        <w:t xml:space="preserve"> should be disclosed</w:t>
      </w:r>
      <w:r>
        <w:rPr>
          <w:rFonts w:ascii="Arial" w:hAnsi="Arial" w:cs="Arial"/>
          <w:sz w:val="20"/>
        </w:rPr>
        <w:t>.</w:t>
      </w:r>
    </w:p>
    <w:p w14:paraId="6FB476BF" w14:textId="77777777" w:rsidR="00DF7DFD" w:rsidRDefault="00DF7DFD">
      <w:pPr>
        <w:tabs>
          <w:tab w:val="left" w:pos="657"/>
          <w:tab w:val="left" w:pos="1821"/>
        </w:tabs>
        <w:spacing w:line="0" w:lineRule="atLeast"/>
        <w:ind w:firstLine="1815"/>
        <w:jc w:val="both"/>
        <w:rPr>
          <w:rFonts w:ascii="Arial" w:hAnsi="Arial" w:cs="Arial"/>
          <w:sz w:val="20"/>
        </w:rPr>
      </w:pPr>
      <w:bookmarkStart w:id="117" w:name="_Toc217460912"/>
    </w:p>
    <w:p w14:paraId="793C77F7" w14:textId="6651C2D7" w:rsidR="00DF7DFD" w:rsidRDefault="00F62BB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18" w:name="_Earnings_(Loss)_Per"/>
      <w:bookmarkEnd w:id="118"/>
      <w:r>
        <w:rPr>
          <w:rFonts w:ascii="Century Gothic" w:hAnsi="Century Gothic" w:cs="Arial"/>
          <w:bCs w:val="0"/>
          <w:sz w:val="20"/>
        </w:rPr>
        <w:t xml:space="preserve">Earnings (Loss) Per </w:t>
      </w:r>
      <w:r w:rsidR="00A606CA">
        <w:rPr>
          <w:rFonts w:ascii="Century Gothic" w:hAnsi="Century Gothic" w:cs="Arial"/>
          <w:bCs w:val="0"/>
          <w:sz w:val="20"/>
        </w:rPr>
        <w:t>Share</w:t>
      </w:r>
    </w:p>
    <w:p w14:paraId="1FD3453B" w14:textId="5F388122" w:rsidR="00DF7DFD" w:rsidRDefault="00F62BB8">
      <w:pPr>
        <w:pStyle w:val="ListParagraph"/>
        <w:spacing w:line="0" w:lineRule="atLeast"/>
        <w:ind w:left="360"/>
        <w:contextualSpacing/>
        <w:jc w:val="both"/>
        <w:rPr>
          <w:rFonts w:ascii="Arial" w:hAnsi="Arial" w:cs="Arial"/>
          <w:sz w:val="20"/>
        </w:rPr>
      </w:pPr>
      <w:r>
        <w:rPr>
          <w:rFonts w:ascii="Arial" w:hAnsi="Arial" w:cs="Arial"/>
          <w:sz w:val="20"/>
        </w:rPr>
        <w:t xml:space="preserve">Basic earnings (loss) per common unit </w:t>
      </w:r>
      <w:proofErr w:type="gramStart"/>
      <w:r>
        <w:rPr>
          <w:rFonts w:ascii="Arial" w:hAnsi="Arial" w:cs="Arial"/>
          <w:sz w:val="20"/>
        </w:rPr>
        <w:t>is</w:t>
      </w:r>
      <w:proofErr w:type="gramEnd"/>
      <w:r>
        <w:rPr>
          <w:rFonts w:ascii="Arial" w:hAnsi="Arial" w:cs="Arial"/>
          <w:sz w:val="20"/>
        </w:rPr>
        <w:t xml:space="preserve"> determined by dividing the net income (loss) </w:t>
      </w:r>
      <w:r w:rsidR="00A606CA">
        <w:rPr>
          <w:rFonts w:ascii="Arial" w:hAnsi="Arial" w:cs="Arial"/>
          <w:sz w:val="20"/>
        </w:rPr>
        <w:t>available</w:t>
      </w:r>
      <w:r>
        <w:rPr>
          <w:rFonts w:ascii="Arial" w:hAnsi="Arial" w:cs="Arial"/>
          <w:sz w:val="20"/>
        </w:rPr>
        <w:t xml:space="preserve"> to common </w:t>
      </w:r>
      <w:r w:rsidR="00A606CA">
        <w:rPr>
          <w:rFonts w:ascii="Arial" w:hAnsi="Arial" w:cs="Arial"/>
          <w:sz w:val="20"/>
        </w:rPr>
        <w:t>stock</w:t>
      </w:r>
      <w:r>
        <w:rPr>
          <w:rFonts w:ascii="Arial" w:hAnsi="Arial" w:cs="Arial"/>
          <w:sz w:val="20"/>
        </w:rPr>
        <w:t xml:space="preserve">holders by the weighted average number of </w:t>
      </w:r>
      <w:r w:rsidR="00A606CA">
        <w:rPr>
          <w:rFonts w:ascii="Arial" w:hAnsi="Arial" w:cs="Arial"/>
          <w:sz w:val="20"/>
        </w:rPr>
        <w:t xml:space="preserve">shares of Class A </w:t>
      </w:r>
      <w:r>
        <w:rPr>
          <w:rFonts w:ascii="Arial" w:hAnsi="Arial" w:cs="Arial"/>
          <w:sz w:val="20"/>
        </w:rPr>
        <w:t xml:space="preserve">common </w:t>
      </w:r>
      <w:r w:rsidR="00A606CA">
        <w:rPr>
          <w:rFonts w:ascii="Arial" w:hAnsi="Arial" w:cs="Arial"/>
          <w:sz w:val="20"/>
        </w:rPr>
        <w:t>stock</w:t>
      </w:r>
      <w:r>
        <w:rPr>
          <w:rFonts w:ascii="Arial" w:hAnsi="Arial" w:cs="Arial"/>
          <w:sz w:val="20"/>
        </w:rPr>
        <w:t xml:space="preserve"> outstanding during the periods presented. Diluted earnings (loss) per </w:t>
      </w:r>
      <w:r w:rsidR="00A606CA">
        <w:rPr>
          <w:rFonts w:ascii="Arial" w:hAnsi="Arial" w:cs="Arial"/>
          <w:sz w:val="20"/>
        </w:rPr>
        <w:t>share</w:t>
      </w:r>
      <w:r>
        <w:rPr>
          <w:rFonts w:ascii="Arial" w:hAnsi="Arial" w:cs="Arial"/>
          <w:sz w:val="20"/>
        </w:rPr>
        <w:t xml:space="preserve"> is computed by dividing the net income (loss) </w:t>
      </w:r>
      <w:r w:rsidR="00A606CA">
        <w:rPr>
          <w:rFonts w:ascii="Arial" w:hAnsi="Arial" w:cs="Arial"/>
          <w:sz w:val="20"/>
        </w:rPr>
        <w:t xml:space="preserve">available </w:t>
      </w:r>
      <w:r>
        <w:rPr>
          <w:rFonts w:ascii="Arial" w:hAnsi="Arial" w:cs="Arial"/>
          <w:sz w:val="20"/>
        </w:rPr>
        <w:t xml:space="preserve">to common </w:t>
      </w:r>
      <w:r w:rsidR="00A606CA">
        <w:rPr>
          <w:rFonts w:ascii="Arial" w:hAnsi="Arial" w:cs="Arial"/>
          <w:sz w:val="20"/>
        </w:rPr>
        <w:t>stock</w:t>
      </w:r>
      <w:r>
        <w:rPr>
          <w:rFonts w:ascii="Arial" w:hAnsi="Arial" w:cs="Arial"/>
          <w:sz w:val="20"/>
        </w:rPr>
        <w:t>holders</w:t>
      </w:r>
      <w:r w:rsidR="00A606CA">
        <w:rPr>
          <w:rFonts w:ascii="Arial" w:hAnsi="Arial" w:cs="Arial"/>
          <w:sz w:val="20"/>
        </w:rPr>
        <w:t xml:space="preserve"> by the weighted average number of Class A common </w:t>
      </w:r>
      <w:proofErr w:type="gramStart"/>
      <w:r w:rsidR="00A606CA">
        <w:rPr>
          <w:rFonts w:ascii="Arial" w:hAnsi="Arial" w:cs="Arial"/>
          <w:sz w:val="20"/>
        </w:rPr>
        <w:t>stock  outstanding</w:t>
      </w:r>
      <w:proofErr w:type="gramEnd"/>
      <w:r w:rsidR="00A606CA">
        <w:rPr>
          <w:rFonts w:ascii="Arial" w:hAnsi="Arial" w:cs="Arial"/>
          <w:sz w:val="20"/>
        </w:rPr>
        <w:t xml:space="preserve"> and, when dilutive, the </w:t>
      </w:r>
      <w:r w:rsidR="008425BC">
        <w:rPr>
          <w:rFonts w:ascii="Arial" w:hAnsi="Arial" w:cs="Arial"/>
          <w:sz w:val="20"/>
        </w:rPr>
        <w:t xml:space="preserve">weighted average </w:t>
      </w:r>
      <w:r w:rsidR="00A606CA">
        <w:rPr>
          <w:rFonts w:ascii="Arial" w:hAnsi="Arial" w:cs="Arial"/>
          <w:sz w:val="20"/>
        </w:rPr>
        <w:t>share equivalents that would arise from the assumed conversion of convertible instruments</w:t>
      </w:r>
      <w:r w:rsidR="008425BC">
        <w:rPr>
          <w:rFonts w:ascii="Arial" w:hAnsi="Arial" w:cs="Arial"/>
          <w:sz w:val="20"/>
        </w:rPr>
        <w:t>. The assumed conversion is calculated</w:t>
      </w:r>
      <w:r w:rsidR="00A606CA">
        <w:rPr>
          <w:rFonts w:ascii="Arial" w:hAnsi="Arial" w:cs="Arial"/>
          <w:sz w:val="20"/>
        </w:rPr>
        <w:t xml:space="preserve"> using</w:t>
      </w:r>
      <w:r>
        <w:rPr>
          <w:rFonts w:ascii="Arial" w:hAnsi="Arial" w:cs="Arial"/>
          <w:sz w:val="20"/>
        </w:rPr>
        <w:t xml:space="preserve"> an “if converted” basis</w:t>
      </w:r>
      <w:r w:rsidR="00A606CA">
        <w:rPr>
          <w:rFonts w:ascii="Arial" w:hAnsi="Arial" w:cs="Arial"/>
          <w:sz w:val="20"/>
        </w:rPr>
        <w:t xml:space="preserve"> for the Class B shares and a “treasury stock” method for other stock awards outstanding (options, restricted stock units, </w:t>
      </w:r>
      <w:proofErr w:type="spellStart"/>
      <w:r w:rsidR="00A606CA">
        <w:rPr>
          <w:rFonts w:ascii="Arial" w:hAnsi="Arial" w:cs="Arial"/>
          <w:sz w:val="20"/>
        </w:rPr>
        <w:t>etc</w:t>
      </w:r>
      <w:proofErr w:type="spellEnd"/>
      <w:r w:rsidR="00A606CA">
        <w:rPr>
          <w:rFonts w:ascii="Arial" w:hAnsi="Arial" w:cs="Arial"/>
          <w:sz w:val="20"/>
        </w:rPr>
        <w:t>)</w:t>
      </w:r>
      <w:r w:rsidR="008425BC">
        <w:rPr>
          <w:rFonts w:ascii="Arial" w:hAnsi="Arial" w:cs="Arial"/>
          <w:sz w:val="20"/>
        </w:rPr>
        <w:t>.</w:t>
      </w:r>
      <w:r>
        <w:rPr>
          <w:rFonts w:ascii="Arial" w:hAnsi="Arial" w:cs="Arial"/>
          <w:sz w:val="20"/>
        </w:rPr>
        <w:t xml:space="preserve"> </w:t>
      </w:r>
    </w:p>
    <w:bookmarkEnd w:id="117"/>
    <w:p w14:paraId="07139DB6" w14:textId="77777777" w:rsidR="00DF7DFD" w:rsidRDefault="00DF7DFD">
      <w:pPr>
        <w:spacing w:line="0" w:lineRule="atLeast"/>
        <w:jc w:val="both"/>
        <w:rPr>
          <w:rFonts w:ascii="Arial" w:hAnsi="Arial" w:cs="Arial"/>
          <w:sz w:val="20"/>
        </w:rPr>
      </w:pPr>
    </w:p>
    <w:p w14:paraId="16960837" w14:textId="77777777" w:rsidR="00DF7DFD" w:rsidRDefault="00F62BB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19" w:name="_Recently_Issued_Accounting"/>
      <w:bookmarkEnd w:id="119"/>
      <w:r w:rsidRPr="00F94C92">
        <w:rPr>
          <w:rFonts w:ascii="Century Gothic" w:hAnsi="Century Gothic" w:cs="Arial"/>
          <w:bCs w:val="0"/>
          <w:sz w:val="20"/>
        </w:rPr>
        <w:t>Recently Issued Accounting Standards</w:t>
      </w:r>
    </w:p>
    <w:p w14:paraId="14C5E932" w14:textId="77777777" w:rsidR="00DF7DFD" w:rsidRPr="00F94C92" w:rsidRDefault="00F62BB8" w:rsidP="00F94C92">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3D2116">
        <w:rPr>
          <w:rFonts w:ascii="Arial" w:hAnsi="Arial" w:cs="Arial"/>
          <w:b w:val="0"/>
          <w:bCs w:val="0"/>
          <w:sz w:val="20"/>
          <w:szCs w:val="24"/>
        </w:rPr>
        <w:t>Recently issued accounting standards by the FASB should be reviewed and understood by the technical accounting team to determine the expected impact of adopting the new standard. Documentation of this review should be maintained and discussed with management</w:t>
      </w:r>
      <w:r w:rsidRPr="00F94C92">
        <w:rPr>
          <w:rFonts w:ascii="Arial" w:hAnsi="Arial" w:cs="Arial"/>
          <w:b w:val="0"/>
          <w:sz w:val="20"/>
        </w:rPr>
        <w:t xml:space="preserve">. </w:t>
      </w:r>
    </w:p>
    <w:p w14:paraId="078FD405" w14:textId="77777777" w:rsidR="00DF7DFD" w:rsidRDefault="00F62BB8">
      <w:pPr>
        <w:spacing w:before="120" w:after="120"/>
        <w:ind w:left="360"/>
        <w:rPr>
          <w:rFonts w:ascii="Arial" w:hAnsi="Arial" w:cs="Arial"/>
          <w:sz w:val="20"/>
        </w:rPr>
      </w:pPr>
      <w:r>
        <w:rPr>
          <w:rFonts w:ascii="Arial" w:hAnsi="Arial" w:cs="Arial"/>
          <w:sz w:val="20"/>
        </w:rPr>
        <w:t xml:space="preserve">Both quantitative and qualitative information about the expected impact of adoption should also be considered and disclosed as required by SAB 74.  </w:t>
      </w:r>
    </w:p>
    <w:p w14:paraId="33C587C7" w14:textId="0E33D359" w:rsidR="00DF7DFD" w:rsidRDefault="00F62BB8">
      <w:pPr>
        <w:spacing w:before="120" w:after="120"/>
        <w:ind w:left="360"/>
        <w:rPr>
          <w:rFonts w:ascii="Arial" w:hAnsi="Arial" w:cs="Arial"/>
          <w:sz w:val="20"/>
        </w:rPr>
      </w:pPr>
      <w:r>
        <w:rPr>
          <w:rFonts w:ascii="Arial" w:hAnsi="Arial" w:cs="Arial"/>
          <w:sz w:val="20"/>
        </w:rPr>
        <w:t>If the implementation of a new standard or policy is complex, a project implementation team led b</w:t>
      </w:r>
      <w:r w:rsidR="00171277">
        <w:rPr>
          <w:rFonts w:ascii="Arial" w:hAnsi="Arial" w:cs="Arial"/>
          <w:sz w:val="20"/>
        </w:rPr>
        <w:t>y the technical accounting team</w:t>
      </w:r>
      <w:r>
        <w:rPr>
          <w:rFonts w:ascii="Arial" w:hAnsi="Arial" w:cs="Arial"/>
          <w:sz w:val="20"/>
        </w:rPr>
        <w:t xml:space="preserve"> should be formed to study the standard or policy and develop a plan of implementation. The plan should include the following:  </w:t>
      </w:r>
    </w:p>
    <w:p w14:paraId="3BF6AD78" w14:textId="4EEB70B0" w:rsidR="00DF7DFD" w:rsidRDefault="00F62BB8" w:rsidP="00254044">
      <w:pPr>
        <w:pStyle w:val="ListParagraph"/>
        <w:numPr>
          <w:ilvl w:val="0"/>
          <w:numId w:val="33"/>
        </w:numPr>
        <w:spacing w:before="120" w:after="120"/>
        <w:contextualSpacing/>
        <w:rPr>
          <w:rFonts w:ascii="Arial" w:hAnsi="Arial" w:cs="Arial"/>
          <w:sz w:val="20"/>
          <w:szCs w:val="20"/>
        </w:rPr>
      </w:pPr>
      <w:r>
        <w:rPr>
          <w:rFonts w:ascii="Arial" w:hAnsi="Arial" w:cs="Arial"/>
          <w:sz w:val="20"/>
          <w:szCs w:val="20"/>
        </w:rPr>
        <w:t xml:space="preserve">The project team responsible for the implementation should read and understand the new standard, assess what is needed to respond to the project or implement the new standard or policy, and assess the implications of the project, standard, or policy to the </w:t>
      </w:r>
      <w:r w:rsidR="00D92104">
        <w:rPr>
          <w:rFonts w:ascii="Arial" w:hAnsi="Arial" w:cs="Arial"/>
          <w:sz w:val="20"/>
          <w:szCs w:val="20"/>
        </w:rPr>
        <w:t>C</w:t>
      </w:r>
      <w:r>
        <w:rPr>
          <w:rFonts w:ascii="Arial" w:hAnsi="Arial" w:cs="Arial"/>
          <w:sz w:val="20"/>
          <w:szCs w:val="20"/>
        </w:rPr>
        <w:t xml:space="preserve">ompany.  </w:t>
      </w:r>
    </w:p>
    <w:p w14:paraId="016995B6" w14:textId="0D8BE2C5" w:rsidR="00DF7DFD" w:rsidRDefault="00F62BB8" w:rsidP="00254044">
      <w:pPr>
        <w:pStyle w:val="ListParagraph"/>
        <w:numPr>
          <w:ilvl w:val="0"/>
          <w:numId w:val="33"/>
        </w:numPr>
        <w:spacing w:before="120" w:after="120"/>
        <w:contextualSpacing/>
        <w:rPr>
          <w:rFonts w:ascii="Arial" w:hAnsi="Arial" w:cs="Arial"/>
          <w:sz w:val="20"/>
          <w:szCs w:val="20"/>
        </w:rPr>
      </w:pPr>
      <w:r>
        <w:rPr>
          <w:rFonts w:ascii="Arial" w:hAnsi="Arial" w:cs="Arial"/>
          <w:sz w:val="20"/>
          <w:szCs w:val="20"/>
        </w:rPr>
        <w:t xml:space="preserve">A summary of the project, standard, or policy and its effect on the </w:t>
      </w:r>
      <w:r w:rsidR="00D92104">
        <w:rPr>
          <w:rFonts w:ascii="Arial" w:hAnsi="Arial" w:cs="Arial"/>
          <w:sz w:val="20"/>
          <w:szCs w:val="20"/>
        </w:rPr>
        <w:t>C</w:t>
      </w:r>
      <w:r>
        <w:rPr>
          <w:rFonts w:ascii="Arial" w:hAnsi="Arial" w:cs="Arial"/>
          <w:sz w:val="20"/>
          <w:szCs w:val="20"/>
        </w:rPr>
        <w:t xml:space="preserve">ompany should be developed and communicated to various levels of management and affected areas, such as the financial reporting and general ledger accounting teams. </w:t>
      </w:r>
    </w:p>
    <w:p w14:paraId="4AA114AC" w14:textId="53DE52DB" w:rsidR="00DF7DFD" w:rsidRDefault="00F62BB8" w:rsidP="00254044">
      <w:pPr>
        <w:pStyle w:val="ListParagraph"/>
        <w:numPr>
          <w:ilvl w:val="0"/>
          <w:numId w:val="33"/>
        </w:numPr>
        <w:spacing w:before="120" w:after="120"/>
        <w:contextualSpacing/>
        <w:rPr>
          <w:rFonts w:ascii="Arial" w:hAnsi="Arial" w:cs="Arial"/>
          <w:sz w:val="20"/>
          <w:szCs w:val="20"/>
        </w:rPr>
      </w:pPr>
      <w:r>
        <w:rPr>
          <w:rFonts w:ascii="Arial" w:hAnsi="Arial" w:cs="Arial"/>
          <w:sz w:val="20"/>
          <w:szCs w:val="20"/>
        </w:rPr>
        <w:t xml:space="preserve">A technical </w:t>
      </w:r>
      <w:r w:rsidR="00171277">
        <w:rPr>
          <w:rFonts w:ascii="Arial" w:hAnsi="Arial" w:cs="Arial"/>
          <w:sz w:val="20"/>
          <w:szCs w:val="20"/>
        </w:rPr>
        <w:t xml:space="preserve">accounting </w:t>
      </w:r>
      <w:r>
        <w:rPr>
          <w:rFonts w:ascii="Arial" w:hAnsi="Arial" w:cs="Arial"/>
          <w:sz w:val="20"/>
          <w:szCs w:val="20"/>
        </w:rPr>
        <w:t>memo should be written about the implementation of the standard or policy, and corroborated with the company’s external auditors, along with any required supporting documentation.</w:t>
      </w:r>
    </w:p>
    <w:p w14:paraId="20A2F51C" w14:textId="77777777" w:rsidR="00DF7DFD" w:rsidRDefault="00F62BB8" w:rsidP="00254044">
      <w:pPr>
        <w:pStyle w:val="ListParagraph"/>
        <w:numPr>
          <w:ilvl w:val="0"/>
          <w:numId w:val="33"/>
        </w:numPr>
        <w:spacing w:before="120" w:after="120"/>
        <w:contextualSpacing/>
        <w:rPr>
          <w:rFonts w:ascii="Arial" w:hAnsi="Arial" w:cs="Arial"/>
          <w:sz w:val="20"/>
          <w:szCs w:val="20"/>
        </w:rPr>
      </w:pPr>
      <w:r>
        <w:rPr>
          <w:rFonts w:ascii="Arial" w:hAnsi="Arial" w:cs="Arial"/>
          <w:sz w:val="20"/>
          <w:szCs w:val="20"/>
        </w:rPr>
        <w:t>Education and/or training sessions should be held with various departments and levels of management to educate and inform about the effects of any project, standard, or policy, both before and after implementation.</w:t>
      </w:r>
    </w:p>
    <w:p w14:paraId="26A20452" w14:textId="77777777" w:rsidR="00DF7DFD" w:rsidRDefault="00F62BB8" w:rsidP="00254044">
      <w:pPr>
        <w:pStyle w:val="ListParagraph"/>
        <w:numPr>
          <w:ilvl w:val="0"/>
          <w:numId w:val="33"/>
        </w:numPr>
        <w:spacing w:before="120" w:after="120"/>
        <w:contextualSpacing/>
        <w:rPr>
          <w:rFonts w:ascii="Arial" w:hAnsi="Arial" w:cs="Arial"/>
          <w:sz w:val="20"/>
          <w:szCs w:val="20"/>
        </w:rPr>
      </w:pPr>
      <w:r>
        <w:rPr>
          <w:rFonts w:ascii="Arial" w:hAnsi="Arial" w:cs="Arial"/>
          <w:sz w:val="20"/>
          <w:szCs w:val="20"/>
        </w:rPr>
        <w:t xml:space="preserve">Working with the financial reporting and general ledger teams, technical accounting should advise in developing </w:t>
      </w:r>
      <w:proofErr w:type="gramStart"/>
      <w:r>
        <w:rPr>
          <w:rFonts w:ascii="Arial" w:hAnsi="Arial" w:cs="Arial"/>
          <w:sz w:val="20"/>
          <w:szCs w:val="20"/>
        </w:rPr>
        <w:t>implementation</w:t>
      </w:r>
      <w:proofErr w:type="gramEnd"/>
      <w:r>
        <w:rPr>
          <w:rFonts w:ascii="Arial" w:hAnsi="Arial" w:cs="Arial"/>
          <w:sz w:val="20"/>
          <w:szCs w:val="20"/>
        </w:rPr>
        <w:t xml:space="preserve"> journal entries, related disclosures, and the continuous on-going accounting process. These journal entries, disclosures, and </w:t>
      </w:r>
      <w:proofErr w:type="gramStart"/>
      <w:r>
        <w:rPr>
          <w:rFonts w:ascii="Arial" w:hAnsi="Arial" w:cs="Arial"/>
          <w:sz w:val="20"/>
          <w:szCs w:val="20"/>
        </w:rPr>
        <w:t>process</w:t>
      </w:r>
      <w:proofErr w:type="gramEnd"/>
      <w:r>
        <w:rPr>
          <w:rFonts w:ascii="Arial" w:hAnsi="Arial" w:cs="Arial"/>
          <w:sz w:val="20"/>
          <w:szCs w:val="20"/>
        </w:rPr>
        <w:t xml:space="preserve"> should generally be corroborated with the company’s external auditors prior to implementation.</w:t>
      </w:r>
    </w:p>
    <w:p w14:paraId="308C8CC4" w14:textId="77777777" w:rsidR="000971D0" w:rsidRPr="003D2116" w:rsidRDefault="000971D0"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20" w:name="_Quantifying_Errors_and"/>
      <w:bookmarkEnd w:id="120"/>
      <w:r w:rsidRPr="003D2116">
        <w:rPr>
          <w:rFonts w:ascii="Century Gothic" w:hAnsi="Century Gothic" w:cs="Arial"/>
          <w:bCs w:val="0"/>
          <w:sz w:val="20"/>
        </w:rPr>
        <w:t>Quantifying Errors and Determining Materiality</w:t>
      </w:r>
    </w:p>
    <w:p w14:paraId="27237267" w14:textId="58840495" w:rsidR="00A20360" w:rsidRDefault="00A20360" w:rsidP="00F94C92">
      <w:pPr>
        <w:pStyle w:val="Heading2"/>
        <w:tabs>
          <w:tab w:val="clear" w:pos="1440"/>
          <w:tab w:val="clear" w:pos="2880"/>
          <w:tab w:val="clear" w:pos="4395"/>
          <w:tab w:val="clear" w:pos="5760"/>
          <w:tab w:val="clear" w:pos="7560"/>
        </w:tabs>
        <w:spacing w:line="0" w:lineRule="atLeast"/>
        <w:ind w:left="360"/>
        <w:rPr>
          <w:rFonts w:ascii="Arial" w:hAnsi="Arial" w:cs="Arial"/>
          <w:sz w:val="20"/>
        </w:rPr>
      </w:pPr>
      <w:r w:rsidRPr="00F94C92">
        <w:rPr>
          <w:rFonts w:ascii="Arial" w:hAnsi="Arial" w:cs="Arial"/>
          <w:b w:val="0"/>
          <w:sz w:val="20"/>
        </w:rPr>
        <w:t xml:space="preserve">FASB has stated the essence of the concept of materiality as follows: </w:t>
      </w:r>
      <w:bookmarkStart w:id="121" w:name="d3e30361-122693__SL6369724-122693"/>
      <w:bookmarkEnd w:id="121"/>
      <w:r w:rsidRPr="00F94C92">
        <w:rPr>
          <w:rFonts w:ascii="Arial" w:hAnsi="Arial" w:cs="Arial"/>
          <w:b w:val="0"/>
          <w:sz w:val="20"/>
        </w:rPr>
        <w:t>The omission or misstatement of an item in a financial report is material if, in the light of surrounding circumstances, the magnitude of the item is such that it is probable that the judgment of a reasonable person relying upon the report would have been changed or influenced by the inclusion or correction of the item</w:t>
      </w:r>
      <w:r w:rsidRPr="00F840BF">
        <w:rPr>
          <w:rFonts w:ascii="Arial" w:hAnsi="Arial" w:cs="Arial"/>
          <w:sz w:val="20"/>
        </w:rPr>
        <w:t xml:space="preserve">. </w:t>
      </w:r>
    </w:p>
    <w:p w14:paraId="5BB0BB24" w14:textId="77777777" w:rsidR="00F94C92" w:rsidRPr="00F94C92" w:rsidRDefault="00F94C92" w:rsidP="00F94C92"/>
    <w:p w14:paraId="15E89A62" w14:textId="77777777" w:rsidR="00A20360" w:rsidRPr="00F840BF" w:rsidRDefault="00A20360" w:rsidP="00A20360">
      <w:pPr>
        <w:spacing w:line="259" w:lineRule="auto"/>
        <w:ind w:left="360"/>
        <w:contextualSpacing/>
        <w:rPr>
          <w:rFonts w:ascii="Arial" w:hAnsi="Arial" w:cs="Arial"/>
          <w:sz w:val="20"/>
        </w:rPr>
      </w:pPr>
      <w:r>
        <w:rPr>
          <w:rFonts w:ascii="Arial" w:hAnsi="Arial" w:cs="Arial"/>
          <w:sz w:val="20"/>
        </w:rPr>
        <w:t xml:space="preserve">The Company follows both </w:t>
      </w:r>
      <w:r w:rsidRPr="00F840BF">
        <w:rPr>
          <w:rFonts w:ascii="Arial" w:hAnsi="Arial" w:cs="Arial"/>
          <w:sz w:val="20"/>
        </w:rPr>
        <w:t xml:space="preserve">SEC Staff Accounting Bulletin No. 99 (SAB 99), </w:t>
      </w:r>
      <w:r w:rsidRPr="00F840BF">
        <w:rPr>
          <w:rFonts w:ascii="Arial" w:hAnsi="Arial" w:cs="Arial"/>
          <w:i/>
          <w:sz w:val="20"/>
        </w:rPr>
        <w:t>Materiality</w:t>
      </w:r>
      <w:r>
        <w:rPr>
          <w:rFonts w:ascii="Arial" w:hAnsi="Arial" w:cs="Arial"/>
          <w:i/>
          <w:sz w:val="20"/>
        </w:rPr>
        <w:t xml:space="preserve">, </w:t>
      </w:r>
      <w:r>
        <w:rPr>
          <w:rFonts w:ascii="Arial" w:hAnsi="Arial" w:cs="Arial"/>
          <w:sz w:val="20"/>
        </w:rPr>
        <w:t xml:space="preserve">as well as </w:t>
      </w:r>
      <w:r w:rsidRPr="00F840BF">
        <w:rPr>
          <w:rFonts w:ascii="Arial" w:hAnsi="Arial" w:cs="Arial"/>
          <w:sz w:val="20"/>
        </w:rPr>
        <w:t xml:space="preserve">SEC Staff Accounting Bulletin No. 108 (SAB 108), </w:t>
      </w:r>
      <w:r w:rsidRPr="00F840BF">
        <w:rPr>
          <w:rFonts w:ascii="Arial" w:hAnsi="Arial" w:cs="Arial"/>
          <w:i/>
          <w:sz w:val="20"/>
        </w:rPr>
        <w:t>Considering the Considering the Effects of Prior Year Misstatements when Quantifying Misstatements in Current Year Financial Statements</w:t>
      </w:r>
      <w:r>
        <w:rPr>
          <w:rFonts w:ascii="Arial" w:hAnsi="Arial" w:cs="Arial"/>
          <w:i/>
          <w:sz w:val="20"/>
        </w:rPr>
        <w:t>:</w:t>
      </w:r>
    </w:p>
    <w:p w14:paraId="17776796" w14:textId="77777777" w:rsidR="00A20360" w:rsidRPr="00F840BF" w:rsidRDefault="00A20360" w:rsidP="00A20360">
      <w:pPr>
        <w:spacing w:line="259" w:lineRule="auto"/>
        <w:ind w:left="360"/>
        <w:contextualSpacing/>
        <w:rPr>
          <w:rFonts w:ascii="Arial" w:hAnsi="Arial" w:cs="Arial"/>
          <w:sz w:val="20"/>
        </w:rPr>
      </w:pPr>
    </w:p>
    <w:p w14:paraId="5ACDB1FE" w14:textId="77777777" w:rsidR="00A20360" w:rsidRDefault="00A20360" w:rsidP="00A20360">
      <w:pPr>
        <w:ind w:left="360"/>
        <w:rPr>
          <w:rFonts w:ascii="Arial" w:hAnsi="Arial" w:cs="Arial"/>
          <w:sz w:val="20"/>
        </w:rPr>
      </w:pPr>
      <w:r w:rsidRPr="00F840BF">
        <w:rPr>
          <w:rFonts w:ascii="Arial" w:hAnsi="Arial" w:cs="Arial"/>
          <w:sz w:val="20"/>
        </w:rPr>
        <w:t xml:space="preserve">SAB 99 provides guidance in applying materiality thresholds in the preparation of financial statements.  As the preparation of financial statements is the responsibility of management, it is management's responsibility to evaluate the effects of misstatements on reported amounts and disclosures.  </w:t>
      </w:r>
      <w:r>
        <w:rPr>
          <w:rFonts w:ascii="Arial" w:hAnsi="Arial" w:cs="Arial"/>
          <w:sz w:val="20"/>
        </w:rPr>
        <w:t xml:space="preserve">The evaluation must consider both </w:t>
      </w:r>
      <w:r w:rsidRPr="00F840BF">
        <w:rPr>
          <w:rFonts w:ascii="Arial" w:hAnsi="Arial" w:cs="Arial"/>
          <w:sz w:val="20"/>
        </w:rPr>
        <w:t>quantitative</w:t>
      </w:r>
      <w:r>
        <w:rPr>
          <w:rFonts w:ascii="Arial" w:hAnsi="Arial" w:cs="Arial"/>
          <w:sz w:val="20"/>
        </w:rPr>
        <w:t xml:space="preserve"> and </w:t>
      </w:r>
      <w:r w:rsidRPr="00F840BF">
        <w:rPr>
          <w:rFonts w:ascii="Arial" w:hAnsi="Arial" w:cs="Arial"/>
          <w:sz w:val="20"/>
        </w:rPr>
        <w:t>qualitative factors</w:t>
      </w:r>
      <w:r>
        <w:rPr>
          <w:rFonts w:ascii="Arial" w:hAnsi="Arial" w:cs="Arial"/>
          <w:sz w:val="20"/>
        </w:rPr>
        <w:t xml:space="preserve"> in determining </w:t>
      </w:r>
      <w:r w:rsidRPr="00F840BF">
        <w:rPr>
          <w:rFonts w:ascii="Arial" w:hAnsi="Arial" w:cs="Arial"/>
          <w:sz w:val="20"/>
        </w:rPr>
        <w:t>whether prior period financial statements require restatement.</w:t>
      </w:r>
      <w:r>
        <w:rPr>
          <w:rFonts w:ascii="Arial" w:hAnsi="Arial" w:cs="Arial"/>
          <w:sz w:val="20"/>
        </w:rPr>
        <w:t xml:space="preserve">  </w:t>
      </w:r>
    </w:p>
    <w:p w14:paraId="20324893" w14:textId="77777777" w:rsidR="00A20360" w:rsidRDefault="00A20360" w:rsidP="00A20360">
      <w:pPr>
        <w:ind w:left="360"/>
        <w:rPr>
          <w:rFonts w:ascii="Arial" w:hAnsi="Arial" w:cs="Arial"/>
          <w:sz w:val="20"/>
        </w:rPr>
      </w:pPr>
    </w:p>
    <w:p w14:paraId="4416E713" w14:textId="77777777" w:rsidR="00A20360" w:rsidRPr="00F840BF" w:rsidRDefault="00A20360" w:rsidP="00A20360">
      <w:pPr>
        <w:ind w:left="360"/>
        <w:rPr>
          <w:rFonts w:ascii="Arial" w:hAnsi="Arial" w:cs="Arial"/>
          <w:sz w:val="20"/>
        </w:rPr>
      </w:pPr>
      <w:r w:rsidRPr="00F840BF">
        <w:rPr>
          <w:rFonts w:ascii="Arial" w:hAnsi="Arial" w:cs="Arial"/>
          <w:sz w:val="20"/>
        </w:rPr>
        <w:t xml:space="preserve">Qualitative </w:t>
      </w:r>
      <w:r>
        <w:rPr>
          <w:rFonts w:ascii="Arial" w:hAnsi="Arial" w:cs="Arial"/>
          <w:sz w:val="20"/>
        </w:rPr>
        <w:t xml:space="preserve">factors to be </w:t>
      </w:r>
      <w:r w:rsidRPr="00F840BF">
        <w:rPr>
          <w:rFonts w:ascii="Arial" w:hAnsi="Arial" w:cs="Arial"/>
          <w:sz w:val="20"/>
        </w:rPr>
        <w:t>consider</w:t>
      </w:r>
      <w:r>
        <w:rPr>
          <w:rFonts w:ascii="Arial" w:hAnsi="Arial" w:cs="Arial"/>
          <w:sz w:val="20"/>
        </w:rPr>
        <w:t xml:space="preserve">ed include: </w:t>
      </w:r>
    </w:p>
    <w:p w14:paraId="3DAB9C2B"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arises from an item capable of precise measurement or whether it arises from an estimate and, if so, the degree of imprecision inherent in the estimate.</w:t>
      </w:r>
    </w:p>
    <w:p w14:paraId="7B92F668"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masks a change in earnings or other trends.</w:t>
      </w:r>
    </w:p>
    <w:p w14:paraId="5003FD59" w14:textId="77777777" w:rsidR="00A20360" w:rsidRPr="00F840BF" w:rsidRDefault="00A20360" w:rsidP="00171277">
      <w:pPr>
        <w:pStyle w:val="ListParagraph"/>
        <w:numPr>
          <w:ilvl w:val="0"/>
          <w:numId w:val="33"/>
        </w:numPr>
        <w:spacing w:before="120" w:after="120"/>
        <w:contextualSpacing/>
        <w:rPr>
          <w:rFonts w:ascii="Arial" w:hAnsi="Arial" w:cs="Arial"/>
          <w:sz w:val="20"/>
          <w:szCs w:val="20"/>
        </w:rPr>
      </w:pPr>
      <w:r w:rsidRPr="00F840BF">
        <w:rPr>
          <w:rFonts w:ascii="Arial" w:hAnsi="Arial" w:cs="Arial"/>
          <w:sz w:val="20"/>
          <w:szCs w:val="20"/>
        </w:rPr>
        <w:t>Whether the misstatement hides a failure to meet analysts' consensus expectations for the enterprise.</w:t>
      </w:r>
    </w:p>
    <w:p w14:paraId="441B2C0E"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 xml:space="preserve">Whether the misstatement changes a loss into income or vice versa. </w:t>
      </w:r>
    </w:p>
    <w:p w14:paraId="6175DE10"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concerns a segment or other portion of the registrant's business that has been identified as playing a significant role in the registrant's operations or profitability.</w:t>
      </w:r>
    </w:p>
    <w:p w14:paraId="01D508DF"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affects the registrant's compliance with regulatory requirements.</w:t>
      </w:r>
    </w:p>
    <w:p w14:paraId="64C20C8E"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affects the registrant's compliance with loan covenants or other contractual requirements.</w:t>
      </w:r>
    </w:p>
    <w:p w14:paraId="0368909D"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has the effect of increasing management's compensation - for example, by satisfying requirements for the award of bonuses or other forms of incentive compensation.</w:t>
      </w:r>
    </w:p>
    <w:p w14:paraId="5D80862A" w14:textId="77777777" w:rsidR="00A20360" w:rsidRPr="005C7E83" w:rsidRDefault="00A20360" w:rsidP="00171277">
      <w:pPr>
        <w:pStyle w:val="ListParagraph"/>
        <w:numPr>
          <w:ilvl w:val="0"/>
          <w:numId w:val="33"/>
        </w:numPr>
        <w:spacing w:before="120" w:after="120"/>
        <w:contextualSpacing/>
        <w:rPr>
          <w:rFonts w:ascii="Arial" w:hAnsi="Arial" w:cs="Arial"/>
          <w:sz w:val="20"/>
          <w:szCs w:val="20"/>
        </w:rPr>
      </w:pPr>
      <w:r w:rsidRPr="005C7E83">
        <w:rPr>
          <w:rFonts w:ascii="Arial" w:hAnsi="Arial" w:cs="Arial"/>
          <w:sz w:val="20"/>
          <w:szCs w:val="20"/>
        </w:rPr>
        <w:t>Whether the misstatement involves concealment of an unlawful transaction.</w:t>
      </w:r>
    </w:p>
    <w:p w14:paraId="10CD0713" w14:textId="77777777" w:rsidR="00A20360" w:rsidRDefault="00A20360" w:rsidP="00A20360">
      <w:pPr>
        <w:ind w:left="360"/>
        <w:rPr>
          <w:rFonts w:ascii="Arial" w:hAnsi="Arial" w:cs="Arial"/>
          <w:sz w:val="20"/>
        </w:rPr>
      </w:pPr>
      <w:r w:rsidRPr="00F840BF">
        <w:rPr>
          <w:rFonts w:ascii="Arial" w:hAnsi="Arial" w:cs="Arial"/>
          <w:sz w:val="20"/>
        </w:rPr>
        <w:t xml:space="preserve">SAB 108 provides guidance to consider when quantifying errors. </w:t>
      </w:r>
      <w:r>
        <w:rPr>
          <w:rFonts w:ascii="Arial" w:hAnsi="Arial" w:cs="Arial"/>
          <w:sz w:val="20"/>
        </w:rPr>
        <w:t>E</w:t>
      </w:r>
      <w:r w:rsidRPr="00F840BF">
        <w:rPr>
          <w:rFonts w:ascii="Arial" w:hAnsi="Arial" w:cs="Arial"/>
          <w:sz w:val="20"/>
        </w:rPr>
        <w:t>rrors should be evaluated under both the “rollover’ method (quantifying a misstatement based on an error’s impact to the current year income statement) and the “iron curtain” method (quantifying a misstatement based on the effects of the error’s impact to the current year balance sheet).  Additionally, the Company must quantify the impact of correcting misstatements, including both the carryover and reversing effects of prior year misstatements, on the current year financial statements and disclosures.</w:t>
      </w:r>
      <w:r>
        <w:rPr>
          <w:rFonts w:ascii="Arial" w:hAnsi="Arial" w:cs="Arial"/>
          <w:sz w:val="20"/>
        </w:rPr>
        <w:t xml:space="preserve"> </w:t>
      </w:r>
    </w:p>
    <w:p w14:paraId="24951C66" w14:textId="77777777" w:rsidR="00A20360" w:rsidRDefault="00A20360" w:rsidP="00A20360">
      <w:pPr>
        <w:ind w:left="360"/>
        <w:rPr>
          <w:rFonts w:ascii="Arial" w:hAnsi="Arial" w:cs="Arial"/>
          <w:sz w:val="20"/>
        </w:rPr>
      </w:pPr>
    </w:p>
    <w:p w14:paraId="076F4D40" w14:textId="5EFCB226" w:rsidR="00A20360" w:rsidRDefault="00A20360" w:rsidP="00A20360">
      <w:pPr>
        <w:ind w:left="360"/>
        <w:rPr>
          <w:rFonts w:ascii="Arial" w:hAnsi="Arial" w:cs="Arial"/>
          <w:sz w:val="20"/>
        </w:rPr>
      </w:pPr>
      <w:r>
        <w:rPr>
          <w:rFonts w:ascii="Arial" w:hAnsi="Arial" w:cs="Arial"/>
          <w:sz w:val="20"/>
        </w:rPr>
        <w:t xml:space="preserve">This evaluation should be </w:t>
      </w:r>
      <w:r w:rsidRPr="00E41CC5">
        <w:rPr>
          <w:rFonts w:ascii="Arial" w:hAnsi="Arial" w:cs="Arial"/>
          <w:sz w:val="20"/>
        </w:rPr>
        <w:t xml:space="preserve">documented </w:t>
      </w:r>
      <w:r w:rsidR="00480E6D" w:rsidRPr="00E41CC5">
        <w:rPr>
          <w:rFonts w:ascii="Arial" w:hAnsi="Arial" w:cs="Arial"/>
          <w:sz w:val="20"/>
        </w:rPr>
        <w:t>by the Dir, TA</w:t>
      </w:r>
      <w:r w:rsidR="00E41CC5" w:rsidRPr="009D7A9F">
        <w:rPr>
          <w:rFonts w:ascii="Arial" w:hAnsi="Arial" w:cs="Arial"/>
          <w:sz w:val="20"/>
        </w:rPr>
        <w:t xml:space="preserve"> </w:t>
      </w:r>
      <w:r w:rsidRPr="00E41CC5">
        <w:rPr>
          <w:rFonts w:ascii="Arial" w:hAnsi="Arial" w:cs="Arial"/>
          <w:sz w:val="20"/>
        </w:rPr>
        <w:t>and approved</w:t>
      </w:r>
      <w:r>
        <w:rPr>
          <w:rFonts w:ascii="Arial" w:hAnsi="Arial" w:cs="Arial"/>
          <w:sz w:val="20"/>
        </w:rPr>
        <w:t xml:space="preserve"> by the CFO.</w:t>
      </w:r>
    </w:p>
    <w:p w14:paraId="1B41EA3B" w14:textId="77777777" w:rsidR="000971D0" w:rsidRDefault="000971D0" w:rsidP="003D2116">
      <w:pPr>
        <w:spacing w:before="120"/>
        <w:ind w:left="360" w:hanging="360"/>
        <w:contextualSpacing/>
        <w:rPr>
          <w:rFonts w:ascii="Arial" w:hAnsi="Arial" w:cs="Arial"/>
          <w:sz w:val="20"/>
        </w:rPr>
      </w:pPr>
    </w:p>
    <w:p w14:paraId="4E74109D" w14:textId="1D393711" w:rsidR="009A407B" w:rsidRPr="003D2116" w:rsidRDefault="009A407B"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22" w:name="_Unusual_Transactions"/>
      <w:bookmarkEnd w:id="122"/>
      <w:r w:rsidRPr="003D2116">
        <w:rPr>
          <w:rFonts w:ascii="Century Gothic" w:hAnsi="Century Gothic" w:cs="Arial"/>
          <w:bCs w:val="0"/>
          <w:sz w:val="20"/>
        </w:rPr>
        <w:t>Unusual Transactions</w:t>
      </w:r>
    </w:p>
    <w:p w14:paraId="79D77C6F" w14:textId="15CBE2CE" w:rsidR="00A20360" w:rsidRPr="00F94C92" w:rsidRDefault="00A20360" w:rsidP="00F94C92">
      <w:pPr>
        <w:pStyle w:val="Heading2"/>
        <w:tabs>
          <w:tab w:val="clear" w:pos="1440"/>
          <w:tab w:val="clear" w:pos="2880"/>
          <w:tab w:val="clear" w:pos="4395"/>
          <w:tab w:val="clear" w:pos="5760"/>
          <w:tab w:val="clear" w:pos="7560"/>
        </w:tabs>
        <w:spacing w:line="0" w:lineRule="atLeast"/>
        <w:ind w:left="360"/>
        <w:rPr>
          <w:rFonts w:ascii="Arial" w:hAnsi="Arial" w:cs="Arial"/>
          <w:b w:val="0"/>
          <w:sz w:val="20"/>
          <w:szCs w:val="24"/>
        </w:rPr>
      </w:pPr>
      <w:r w:rsidRPr="00F94C92">
        <w:rPr>
          <w:rFonts w:ascii="Arial" w:hAnsi="Arial" w:cs="Arial"/>
          <w:b w:val="0"/>
          <w:sz w:val="20"/>
        </w:rPr>
        <w:t xml:space="preserve">Proper accounting treatment for any transaction that falls outside the Company’s normal course of </w:t>
      </w:r>
      <w:r w:rsidR="00037037" w:rsidRPr="00F94C92">
        <w:rPr>
          <w:rFonts w:ascii="Arial" w:hAnsi="Arial" w:cs="Arial"/>
          <w:b w:val="0"/>
          <w:sz w:val="20"/>
        </w:rPr>
        <w:t>business</w:t>
      </w:r>
      <w:r w:rsidRPr="00F94C92">
        <w:rPr>
          <w:rFonts w:ascii="Arial" w:hAnsi="Arial" w:cs="Arial"/>
          <w:b w:val="0"/>
          <w:sz w:val="20"/>
        </w:rPr>
        <w:t xml:space="preserve"> must</w:t>
      </w:r>
      <w:r w:rsidR="00171277">
        <w:rPr>
          <w:rFonts w:ascii="Arial" w:hAnsi="Arial" w:cs="Arial"/>
          <w:b w:val="0"/>
          <w:sz w:val="20"/>
        </w:rPr>
        <w:t xml:space="preserve"> be addressed by the Company’s technical a</w:t>
      </w:r>
      <w:r w:rsidRPr="00F94C92">
        <w:rPr>
          <w:rFonts w:ascii="Arial" w:hAnsi="Arial" w:cs="Arial"/>
          <w:b w:val="0"/>
          <w:sz w:val="20"/>
        </w:rPr>
        <w:t>ccounting team, to ensure accuracy and to address whether</w:t>
      </w:r>
      <w:r w:rsidRPr="00F94C92">
        <w:rPr>
          <w:rFonts w:ascii="Arial" w:hAnsi="Arial" w:cs="Arial"/>
          <w:b w:val="0"/>
          <w:sz w:val="20"/>
          <w:szCs w:val="24"/>
        </w:rPr>
        <w:t xml:space="preserve"> there are related disclosure requirements.  For such transactions deemed by management to be </w:t>
      </w:r>
      <w:r w:rsidRPr="00E41CC5">
        <w:rPr>
          <w:rFonts w:ascii="Arial" w:hAnsi="Arial" w:cs="Arial"/>
          <w:b w:val="0"/>
          <w:sz w:val="20"/>
          <w:szCs w:val="24"/>
        </w:rPr>
        <w:t xml:space="preserve">significant, </w:t>
      </w:r>
      <w:r w:rsidR="00171277" w:rsidRPr="00E41CC5">
        <w:rPr>
          <w:rFonts w:ascii="Arial" w:hAnsi="Arial" w:cs="Arial"/>
          <w:b w:val="0"/>
          <w:sz w:val="20"/>
          <w:szCs w:val="24"/>
        </w:rPr>
        <w:t>the t</w:t>
      </w:r>
      <w:r w:rsidRPr="00E41CC5">
        <w:rPr>
          <w:rFonts w:ascii="Arial" w:hAnsi="Arial" w:cs="Arial"/>
          <w:b w:val="0"/>
          <w:sz w:val="20"/>
          <w:szCs w:val="24"/>
        </w:rPr>
        <w:t xml:space="preserve">echnical </w:t>
      </w:r>
      <w:r w:rsidR="00171277" w:rsidRPr="00E41CC5">
        <w:rPr>
          <w:rFonts w:ascii="Arial" w:hAnsi="Arial" w:cs="Arial"/>
          <w:b w:val="0"/>
          <w:sz w:val="20"/>
          <w:szCs w:val="24"/>
        </w:rPr>
        <w:t xml:space="preserve">accounting </w:t>
      </w:r>
      <w:r w:rsidRPr="00E41CC5">
        <w:rPr>
          <w:rFonts w:ascii="Arial" w:hAnsi="Arial" w:cs="Arial"/>
          <w:b w:val="0"/>
          <w:sz w:val="20"/>
          <w:szCs w:val="24"/>
        </w:rPr>
        <w:t xml:space="preserve">team will prepare a memo, to be reviewed and approved by </w:t>
      </w:r>
      <w:proofErr w:type="gramStart"/>
      <w:r w:rsidRPr="00E41CC5">
        <w:rPr>
          <w:rFonts w:ascii="Arial" w:hAnsi="Arial" w:cs="Arial"/>
          <w:b w:val="0"/>
          <w:sz w:val="20"/>
          <w:szCs w:val="24"/>
        </w:rPr>
        <w:t>the</w:t>
      </w:r>
      <w:r w:rsidR="00480E6D" w:rsidRPr="00E41CC5">
        <w:rPr>
          <w:rFonts w:ascii="Arial" w:hAnsi="Arial" w:cs="Arial"/>
          <w:b w:val="0"/>
          <w:sz w:val="20"/>
          <w:szCs w:val="24"/>
        </w:rPr>
        <w:t xml:space="preserve"> </w:t>
      </w:r>
      <w:r w:rsidR="00D342D1" w:rsidRPr="00E41CC5">
        <w:rPr>
          <w:rFonts w:ascii="Arial" w:hAnsi="Arial" w:cs="Arial"/>
          <w:b w:val="0"/>
          <w:sz w:val="20"/>
          <w:szCs w:val="24"/>
        </w:rPr>
        <w:t>VP</w:t>
      </w:r>
      <w:proofErr w:type="gramEnd"/>
      <w:r w:rsidR="00D342D1" w:rsidRPr="00E41CC5">
        <w:rPr>
          <w:rFonts w:ascii="Arial" w:hAnsi="Arial" w:cs="Arial"/>
          <w:b w:val="0"/>
          <w:sz w:val="20"/>
          <w:szCs w:val="24"/>
        </w:rPr>
        <w:t xml:space="preserve"> Accounting, CAO</w:t>
      </w:r>
      <w:r w:rsidRPr="00E41CC5">
        <w:rPr>
          <w:rFonts w:ascii="Arial" w:hAnsi="Arial" w:cs="Arial"/>
          <w:b w:val="0"/>
          <w:sz w:val="20"/>
          <w:szCs w:val="24"/>
        </w:rPr>
        <w:t xml:space="preserve"> and/or CFO, to include</w:t>
      </w:r>
      <w:r w:rsidRPr="00F94C92">
        <w:rPr>
          <w:rFonts w:ascii="Arial" w:hAnsi="Arial" w:cs="Arial"/>
          <w:b w:val="0"/>
          <w:sz w:val="20"/>
          <w:szCs w:val="24"/>
        </w:rPr>
        <w:t xml:space="preserve"> the business rationale of such transactions and related accounting treatment.  This memo will serve as audit support to mitigate any potential concerns for transactions that fall outside the Company’s normal course of business, or otherwise appear unusual due to their timing, size, or nature.</w:t>
      </w:r>
      <w:r w:rsidRPr="00F94C92" w:rsidDel="00B57698">
        <w:rPr>
          <w:rFonts w:ascii="Arial" w:hAnsi="Arial" w:cs="Arial"/>
          <w:b w:val="0"/>
          <w:sz w:val="20"/>
          <w:szCs w:val="24"/>
        </w:rPr>
        <w:t xml:space="preserve"> </w:t>
      </w:r>
    </w:p>
    <w:p w14:paraId="16A43267" w14:textId="77777777" w:rsidR="0081207B" w:rsidRPr="0081207B" w:rsidRDefault="0081207B" w:rsidP="0081207B"/>
    <w:p w14:paraId="21F4DDDF" w14:textId="34464C56" w:rsidR="00FA4AA8" w:rsidRPr="008B7BCD" w:rsidRDefault="00E22088" w:rsidP="002E594C">
      <w:pPr>
        <w:pStyle w:val="Heading2"/>
        <w:numPr>
          <w:ilvl w:val="1"/>
          <w:numId w:val="2"/>
        </w:numPr>
        <w:tabs>
          <w:tab w:val="clear" w:pos="1440"/>
          <w:tab w:val="clear" w:pos="2880"/>
          <w:tab w:val="clear" w:pos="4395"/>
          <w:tab w:val="clear" w:pos="5760"/>
          <w:tab w:val="clear" w:pos="7560"/>
        </w:tabs>
        <w:spacing w:line="0" w:lineRule="atLeast"/>
        <w:ind w:left="360" w:hanging="360"/>
        <w:rPr>
          <w:rFonts w:ascii="Century Gothic" w:hAnsi="Century Gothic" w:cs="Arial"/>
          <w:bCs w:val="0"/>
          <w:sz w:val="20"/>
        </w:rPr>
      </w:pPr>
      <w:bookmarkStart w:id="123" w:name="_Gains_and_Losses"/>
      <w:bookmarkStart w:id="124" w:name="_Policy_and_Procedure"/>
      <w:bookmarkStart w:id="125" w:name="_Grants_and_Donations"/>
      <w:bookmarkEnd w:id="123"/>
      <w:bookmarkEnd w:id="124"/>
      <w:bookmarkEnd w:id="125"/>
      <w:r w:rsidRPr="008B7BCD">
        <w:rPr>
          <w:rFonts w:ascii="Century Gothic" w:hAnsi="Century Gothic" w:cs="Arial"/>
          <w:bCs w:val="0"/>
          <w:sz w:val="20"/>
        </w:rPr>
        <w:t xml:space="preserve">Grants and </w:t>
      </w:r>
      <w:r w:rsidR="00FA4AA8" w:rsidRPr="008B7BCD">
        <w:rPr>
          <w:rFonts w:ascii="Century Gothic" w:hAnsi="Century Gothic" w:cs="Arial"/>
          <w:bCs w:val="0"/>
          <w:sz w:val="20"/>
        </w:rPr>
        <w:t>Donations</w:t>
      </w:r>
    </w:p>
    <w:p w14:paraId="0587C96A" w14:textId="33AEF2EB" w:rsidR="0072087B" w:rsidRDefault="00995080"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995080">
        <w:rPr>
          <w:rFonts w:ascii="Arial" w:hAnsi="Arial" w:cs="Arial"/>
          <w:b w:val="0"/>
          <w:sz w:val="20"/>
          <w:u w:val="single"/>
        </w:rPr>
        <w:t xml:space="preserve">For </w:t>
      </w:r>
      <w:r w:rsidR="00E22088" w:rsidRPr="00995080">
        <w:rPr>
          <w:rFonts w:ascii="Arial" w:hAnsi="Arial" w:cs="Arial"/>
          <w:b w:val="0"/>
          <w:sz w:val="20"/>
          <w:u w:val="single"/>
        </w:rPr>
        <w:t xml:space="preserve">grants and donations </w:t>
      </w:r>
      <w:r w:rsidRPr="00995080">
        <w:rPr>
          <w:rFonts w:ascii="Arial" w:hAnsi="Arial" w:cs="Arial"/>
          <w:b w:val="0"/>
          <w:sz w:val="20"/>
          <w:u w:val="single"/>
        </w:rPr>
        <w:t>paid by the Company</w:t>
      </w:r>
      <w:r>
        <w:rPr>
          <w:rFonts w:ascii="Arial" w:hAnsi="Arial" w:cs="Arial"/>
          <w:b w:val="0"/>
          <w:sz w:val="20"/>
        </w:rPr>
        <w:t xml:space="preserve"> </w:t>
      </w:r>
      <w:r w:rsidR="00E22088">
        <w:rPr>
          <w:rFonts w:ascii="Arial" w:hAnsi="Arial" w:cs="Arial"/>
          <w:b w:val="0"/>
          <w:sz w:val="20"/>
        </w:rPr>
        <w:t>to charitable organizations, healthcare organizations, professional societies or similar organizations for charitable, educational or research purposes</w:t>
      </w:r>
      <w:r w:rsidR="00C1672B">
        <w:rPr>
          <w:rFonts w:ascii="Arial" w:hAnsi="Arial" w:cs="Arial"/>
          <w:b w:val="0"/>
          <w:sz w:val="20"/>
        </w:rPr>
        <w:t xml:space="preserve"> and such activities must be approved through the Company’s Grants Committee. </w:t>
      </w:r>
    </w:p>
    <w:p w14:paraId="6E7B7E85" w14:textId="77777777" w:rsidR="0072087B" w:rsidRDefault="0072087B"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p>
    <w:p w14:paraId="49665CC6" w14:textId="372D77C0" w:rsidR="005E2BEF" w:rsidRDefault="005E2BEF"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5E2BEF">
        <w:rPr>
          <w:rFonts w:ascii="Arial" w:hAnsi="Arial" w:cs="Arial"/>
          <w:b w:val="0"/>
          <w:sz w:val="20"/>
        </w:rPr>
        <w:t xml:space="preserve">Contributions made (or promises to pay) that are unconditional result in immediate expense recognition. Contributions that are conditional generally result in deferred expense recognition.  An agreement that contains both of the following is a conditional contribution: (1) a barrier or hurdle that the recipient must overcome to be entitled, and (2) releases the Company from its obligation to transfer resources (or if assets are involved, right to demand their return) if the barrier or hurdle is not achieved. </w:t>
      </w:r>
      <w:r w:rsidR="009E529E">
        <w:rPr>
          <w:rFonts w:ascii="Arial" w:hAnsi="Arial" w:cs="Arial"/>
          <w:b w:val="0"/>
          <w:sz w:val="20"/>
        </w:rPr>
        <w:t xml:space="preserve"> </w:t>
      </w:r>
      <w:r w:rsidR="00254044">
        <w:rPr>
          <w:rFonts w:ascii="Arial" w:hAnsi="Arial" w:cs="Arial"/>
          <w:b w:val="0"/>
          <w:sz w:val="20"/>
        </w:rPr>
        <w:t>As a policy, t</w:t>
      </w:r>
      <w:r w:rsidR="009E529E">
        <w:rPr>
          <w:rFonts w:ascii="Arial" w:hAnsi="Arial" w:cs="Arial"/>
          <w:b w:val="0"/>
          <w:sz w:val="20"/>
        </w:rPr>
        <w:t>he Company does not make contributions conditional</w:t>
      </w:r>
      <w:r w:rsidR="00254044">
        <w:rPr>
          <w:rFonts w:ascii="Arial" w:hAnsi="Arial" w:cs="Arial"/>
          <w:b w:val="0"/>
          <w:sz w:val="20"/>
        </w:rPr>
        <w:t xml:space="preserve">. See further discussion </w:t>
      </w:r>
      <w:r w:rsidR="009E529E">
        <w:rPr>
          <w:rFonts w:ascii="Arial" w:hAnsi="Arial" w:cs="Arial"/>
          <w:b w:val="0"/>
          <w:sz w:val="20"/>
        </w:rPr>
        <w:t>below.</w:t>
      </w:r>
    </w:p>
    <w:p w14:paraId="22B8AC51" w14:textId="77777777" w:rsidR="005E2BEF" w:rsidRDefault="005E2BEF"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p>
    <w:p w14:paraId="2DB00837" w14:textId="77777777" w:rsidR="00F41039" w:rsidRDefault="00C1672B"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Pr>
          <w:rFonts w:ascii="Arial" w:hAnsi="Arial" w:cs="Arial"/>
          <w:b w:val="0"/>
          <w:sz w:val="20"/>
        </w:rPr>
        <w:t xml:space="preserve">As required under the Company’s Grants and Donations Policy, all grants and donations are provided with charitable or humanitarian intent, and therefore, must always be made without any material benefit received by the Company in return for that support. </w:t>
      </w:r>
      <w:r w:rsidR="004F3E47">
        <w:rPr>
          <w:rFonts w:ascii="Arial" w:hAnsi="Arial" w:cs="Arial"/>
          <w:b w:val="0"/>
          <w:sz w:val="20"/>
        </w:rPr>
        <w:t xml:space="preserve">Such </w:t>
      </w:r>
      <w:r w:rsidR="0072087B">
        <w:rPr>
          <w:rFonts w:ascii="Arial" w:hAnsi="Arial" w:cs="Arial"/>
          <w:b w:val="0"/>
          <w:sz w:val="20"/>
        </w:rPr>
        <w:t xml:space="preserve">contributions </w:t>
      </w:r>
      <w:r w:rsidR="00E22088">
        <w:rPr>
          <w:rFonts w:ascii="Arial" w:hAnsi="Arial" w:cs="Arial"/>
          <w:b w:val="0"/>
          <w:sz w:val="20"/>
        </w:rPr>
        <w:t xml:space="preserve">should be </w:t>
      </w:r>
      <w:r>
        <w:rPr>
          <w:rFonts w:ascii="Arial" w:hAnsi="Arial" w:cs="Arial"/>
          <w:b w:val="0"/>
          <w:sz w:val="20"/>
        </w:rPr>
        <w:t xml:space="preserve">expensed </w:t>
      </w:r>
      <w:r w:rsidR="004F3E47">
        <w:rPr>
          <w:rFonts w:ascii="Arial" w:hAnsi="Arial" w:cs="Arial"/>
          <w:b w:val="0"/>
          <w:sz w:val="20"/>
        </w:rPr>
        <w:t>to the grants or donations-</w:t>
      </w:r>
      <w:proofErr w:type="gramStart"/>
      <w:r w:rsidR="004F3E47">
        <w:rPr>
          <w:rFonts w:ascii="Arial" w:hAnsi="Arial" w:cs="Arial"/>
          <w:b w:val="0"/>
          <w:sz w:val="20"/>
        </w:rPr>
        <w:t>Non HCP</w:t>
      </w:r>
      <w:proofErr w:type="gramEnd"/>
      <w:r w:rsidR="004F3E47">
        <w:rPr>
          <w:rFonts w:ascii="Arial" w:hAnsi="Arial" w:cs="Arial"/>
          <w:b w:val="0"/>
          <w:sz w:val="20"/>
        </w:rPr>
        <w:t xml:space="preserve"> expense account, as appropriate </w:t>
      </w:r>
      <w:r w:rsidR="0072087B" w:rsidRPr="004F3E47">
        <w:rPr>
          <w:rFonts w:ascii="Arial" w:hAnsi="Arial" w:cs="Arial"/>
          <w:b w:val="0"/>
          <w:i/>
          <w:sz w:val="20"/>
          <w:u w:val="single"/>
        </w:rPr>
        <w:t>at the earlier of</w:t>
      </w:r>
      <w:r w:rsidR="0072087B">
        <w:rPr>
          <w:rFonts w:ascii="Arial" w:hAnsi="Arial" w:cs="Arial"/>
          <w:b w:val="0"/>
          <w:sz w:val="20"/>
        </w:rPr>
        <w:t xml:space="preserve"> </w:t>
      </w:r>
      <w:r w:rsidR="00E22088" w:rsidRPr="00E22088">
        <w:rPr>
          <w:rFonts w:ascii="Arial" w:hAnsi="Arial" w:cs="Arial"/>
          <w:b w:val="0"/>
          <w:sz w:val="20"/>
        </w:rPr>
        <w:t xml:space="preserve">when </w:t>
      </w:r>
      <w:r w:rsidR="0072087B">
        <w:rPr>
          <w:rFonts w:ascii="Arial" w:hAnsi="Arial" w:cs="Arial"/>
          <w:b w:val="0"/>
          <w:sz w:val="20"/>
        </w:rPr>
        <w:t>incurred (when paid) or when the unconditional promise to give</w:t>
      </w:r>
      <w:r w:rsidR="004F3E47">
        <w:rPr>
          <w:rFonts w:ascii="Arial" w:hAnsi="Arial" w:cs="Arial"/>
          <w:b w:val="0"/>
          <w:sz w:val="20"/>
        </w:rPr>
        <w:t xml:space="preserve"> cash</w:t>
      </w:r>
      <w:r w:rsidR="0072087B">
        <w:rPr>
          <w:rFonts w:ascii="Arial" w:hAnsi="Arial" w:cs="Arial"/>
          <w:b w:val="0"/>
          <w:sz w:val="20"/>
        </w:rPr>
        <w:t xml:space="preserve"> is made (e.g., when the grant or donation is awarded by the Company to the recipient organization or entity)</w:t>
      </w:r>
    </w:p>
    <w:p w14:paraId="1FA767FB" w14:textId="77777777" w:rsidR="00F41039" w:rsidRDefault="00F41039"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p>
    <w:p w14:paraId="53054640" w14:textId="637CCB62" w:rsidR="00E22088" w:rsidRDefault="00F41039" w:rsidP="0072087B">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F41039">
        <w:rPr>
          <w:rFonts w:ascii="Arial" w:hAnsi="Arial" w:cs="Arial"/>
          <w:b w:val="0"/>
          <w:sz w:val="20"/>
          <w:u w:val="single"/>
        </w:rPr>
        <w:t>For government grants received by the Company</w:t>
      </w:r>
      <w:r>
        <w:rPr>
          <w:rFonts w:ascii="Arial" w:hAnsi="Arial" w:cs="Arial"/>
          <w:b w:val="0"/>
          <w:sz w:val="20"/>
        </w:rPr>
        <w:t xml:space="preserve"> (e.g., monies received from the US Coronavirus Aid, Relief and Economic Security Acct (“CARES Act”), the Company applies the guidance in IAS 20 to account such grants and other similar government assistance as there is no specific US GAAP for businesses that receive grants. </w:t>
      </w:r>
      <w:r w:rsidR="00995080">
        <w:rPr>
          <w:rFonts w:ascii="Arial" w:hAnsi="Arial" w:cs="Arial"/>
          <w:b w:val="0"/>
          <w:sz w:val="20"/>
        </w:rPr>
        <w:t xml:space="preserve">Under IAS 20, government grants are recognized when there is reasonable assurance (i.e., probable, or likely to occur) that the grant will be received and the Company will comply with </w:t>
      </w:r>
      <w:proofErr w:type="gramStart"/>
      <w:r w:rsidR="00995080">
        <w:rPr>
          <w:rFonts w:ascii="Arial" w:hAnsi="Arial" w:cs="Arial"/>
          <w:b w:val="0"/>
          <w:sz w:val="20"/>
        </w:rPr>
        <w:t>any</w:t>
      </w:r>
      <w:proofErr w:type="gramEnd"/>
      <w:r w:rsidR="00995080">
        <w:rPr>
          <w:rFonts w:ascii="Arial" w:hAnsi="Arial" w:cs="Arial"/>
          <w:b w:val="0"/>
          <w:sz w:val="20"/>
        </w:rPr>
        <w:t xml:space="preserve"> conditions attached to the grant.  </w:t>
      </w:r>
    </w:p>
    <w:p w14:paraId="459355C7" w14:textId="054365C4" w:rsidR="00995080" w:rsidRDefault="00995080" w:rsidP="00995080"/>
    <w:p w14:paraId="480D7A23" w14:textId="77777777" w:rsidR="00995080" w:rsidRPr="00995080" w:rsidRDefault="00995080" w:rsidP="00995080">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995080">
        <w:rPr>
          <w:rFonts w:ascii="Arial" w:hAnsi="Arial" w:cs="Arial"/>
          <w:b w:val="0"/>
          <w:sz w:val="20"/>
        </w:rPr>
        <w:t xml:space="preserve">Once the recognition threshold is met, the government grant is recognized in the income statement on a “systematic basis over the periods in which the entity recognizes as expenses the related costs for which the grants are intended to compensate.”  For example, grants and subsidies intended to reimburse expenses incurred or to supplement sales proceeds are credited in the period in which the expenses or sales are recorded. To </w:t>
      </w:r>
      <w:proofErr w:type="gramStart"/>
      <w:r w:rsidRPr="00995080">
        <w:rPr>
          <w:rFonts w:ascii="Arial" w:hAnsi="Arial" w:cs="Arial"/>
          <w:b w:val="0"/>
          <w:sz w:val="20"/>
        </w:rPr>
        <w:t>meet</w:t>
      </w:r>
      <w:proofErr w:type="gramEnd"/>
      <w:r w:rsidRPr="00995080">
        <w:rPr>
          <w:rFonts w:ascii="Arial" w:hAnsi="Arial" w:cs="Arial"/>
          <w:b w:val="0"/>
          <w:sz w:val="20"/>
        </w:rPr>
        <w:t xml:space="preserve"> this objective, IAS 20 provides guidance on two broad classes or types of government grants: </w:t>
      </w:r>
    </w:p>
    <w:p w14:paraId="48136D1A" w14:textId="77777777" w:rsidR="00995080" w:rsidRPr="00995080" w:rsidRDefault="00995080" w:rsidP="00995080">
      <w:pPr>
        <w:pStyle w:val="Heading2"/>
        <w:numPr>
          <w:ilvl w:val="0"/>
          <w:numId w:val="63"/>
        </w:numPr>
        <w:tabs>
          <w:tab w:val="clear" w:pos="1440"/>
          <w:tab w:val="clear" w:pos="2880"/>
          <w:tab w:val="clear" w:pos="4395"/>
          <w:tab w:val="clear" w:pos="5760"/>
          <w:tab w:val="clear" w:pos="7560"/>
        </w:tabs>
        <w:spacing w:line="0" w:lineRule="atLeast"/>
        <w:rPr>
          <w:rFonts w:ascii="Arial" w:hAnsi="Arial" w:cs="Arial"/>
          <w:b w:val="0"/>
          <w:sz w:val="20"/>
        </w:rPr>
      </w:pPr>
      <w:r w:rsidRPr="00995080">
        <w:rPr>
          <w:rFonts w:ascii="Arial" w:hAnsi="Arial" w:cs="Arial"/>
          <w:b w:val="0"/>
          <w:sz w:val="20"/>
        </w:rPr>
        <w:t xml:space="preserve">Grants related to long-lived assets (capital grants) </w:t>
      </w:r>
    </w:p>
    <w:p w14:paraId="2C4D56DD" w14:textId="77777777" w:rsidR="00995080" w:rsidRPr="00995080" w:rsidRDefault="00995080" w:rsidP="00995080">
      <w:pPr>
        <w:pStyle w:val="Heading2"/>
        <w:numPr>
          <w:ilvl w:val="0"/>
          <w:numId w:val="63"/>
        </w:numPr>
        <w:tabs>
          <w:tab w:val="clear" w:pos="1440"/>
          <w:tab w:val="clear" w:pos="2880"/>
          <w:tab w:val="clear" w:pos="4395"/>
          <w:tab w:val="clear" w:pos="5760"/>
          <w:tab w:val="clear" w:pos="7560"/>
        </w:tabs>
        <w:spacing w:line="0" w:lineRule="atLeast"/>
        <w:rPr>
          <w:rFonts w:ascii="Arial" w:hAnsi="Arial" w:cs="Arial"/>
          <w:b w:val="0"/>
          <w:sz w:val="20"/>
        </w:rPr>
      </w:pPr>
      <w:r w:rsidRPr="00995080">
        <w:rPr>
          <w:rFonts w:ascii="Arial" w:hAnsi="Arial" w:cs="Arial"/>
          <w:b w:val="0"/>
          <w:sz w:val="20"/>
        </w:rPr>
        <w:t xml:space="preserve">Grants related to income (income grants). </w:t>
      </w:r>
    </w:p>
    <w:p w14:paraId="2E0A1CA6" w14:textId="77777777" w:rsidR="00995080" w:rsidRPr="00995080" w:rsidRDefault="00995080" w:rsidP="00995080">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p>
    <w:p w14:paraId="05A3C721" w14:textId="20E62722" w:rsidR="00995080" w:rsidRPr="00995080" w:rsidRDefault="00995080" w:rsidP="00995080">
      <w:pPr>
        <w:pStyle w:val="Heading2"/>
        <w:tabs>
          <w:tab w:val="clear" w:pos="1440"/>
          <w:tab w:val="clear" w:pos="2880"/>
          <w:tab w:val="clear" w:pos="4395"/>
          <w:tab w:val="clear" w:pos="5760"/>
          <w:tab w:val="clear" w:pos="7560"/>
        </w:tabs>
        <w:spacing w:line="0" w:lineRule="atLeast"/>
        <w:ind w:left="360"/>
        <w:rPr>
          <w:rFonts w:ascii="Arial" w:hAnsi="Arial" w:cs="Arial"/>
          <w:b w:val="0"/>
          <w:sz w:val="20"/>
        </w:rPr>
      </w:pPr>
      <w:r w:rsidRPr="00995080">
        <w:rPr>
          <w:rFonts w:ascii="Arial" w:hAnsi="Arial" w:cs="Arial"/>
          <w:b w:val="0"/>
          <w:sz w:val="20"/>
        </w:rPr>
        <w:t xml:space="preserve">A capital grant is a grant with conditions tied to the acquisition or construction of long-lived assets (e.g., grant provided to construct temporary medical facilities). </w:t>
      </w:r>
      <w:r>
        <w:rPr>
          <w:rFonts w:ascii="Arial" w:hAnsi="Arial" w:cs="Arial"/>
          <w:b w:val="0"/>
          <w:sz w:val="20"/>
        </w:rPr>
        <w:t xml:space="preserve">The Company has not historically received capital grants. </w:t>
      </w:r>
      <w:r w:rsidR="005D4365">
        <w:rPr>
          <w:rFonts w:ascii="Arial" w:hAnsi="Arial" w:cs="Arial"/>
          <w:b w:val="0"/>
          <w:sz w:val="20"/>
        </w:rPr>
        <w:t xml:space="preserve">A </w:t>
      </w:r>
      <w:r>
        <w:rPr>
          <w:rFonts w:ascii="Arial" w:hAnsi="Arial" w:cs="Arial"/>
          <w:b w:val="0"/>
          <w:sz w:val="20"/>
        </w:rPr>
        <w:t xml:space="preserve">capital grant </w:t>
      </w:r>
      <w:r w:rsidR="005D4365">
        <w:rPr>
          <w:rFonts w:ascii="Arial" w:hAnsi="Arial" w:cs="Arial"/>
          <w:b w:val="0"/>
          <w:sz w:val="20"/>
        </w:rPr>
        <w:t xml:space="preserve">should be </w:t>
      </w:r>
      <w:r w:rsidRPr="00995080">
        <w:rPr>
          <w:rFonts w:ascii="Arial" w:hAnsi="Arial" w:cs="Arial"/>
          <w:b w:val="0"/>
          <w:sz w:val="20"/>
        </w:rPr>
        <w:t>initially record</w:t>
      </w:r>
      <w:r w:rsidR="005D4365">
        <w:rPr>
          <w:rFonts w:ascii="Arial" w:hAnsi="Arial" w:cs="Arial"/>
          <w:b w:val="0"/>
          <w:sz w:val="20"/>
        </w:rPr>
        <w:t>ed</w:t>
      </w:r>
      <w:r w:rsidRPr="00995080">
        <w:rPr>
          <w:rFonts w:ascii="Arial" w:hAnsi="Arial" w:cs="Arial"/>
          <w:b w:val="0"/>
          <w:sz w:val="20"/>
        </w:rPr>
        <w:t xml:space="preserve"> as deferred revenue </w:t>
      </w:r>
      <w:r w:rsidR="005D4365">
        <w:rPr>
          <w:rFonts w:ascii="Arial" w:hAnsi="Arial" w:cs="Arial"/>
          <w:b w:val="0"/>
          <w:sz w:val="20"/>
        </w:rPr>
        <w:t xml:space="preserve">and subsequently </w:t>
      </w:r>
      <w:r w:rsidRPr="00995080">
        <w:rPr>
          <w:rFonts w:ascii="Arial" w:hAnsi="Arial" w:cs="Arial"/>
          <w:b w:val="0"/>
          <w:sz w:val="20"/>
        </w:rPr>
        <w:t xml:space="preserve">recognized in the income statement over the useful life of the depreciable asset it is associated with (e.g., as an offset against depreciation expense). An income grant is a grant that is not related to a long-lived </w:t>
      </w:r>
      <w:proofErr w:type="gramStart"/>
      <w:r w:rsidRPr="00995080">
        <w:rPr>
          <w:rFonts w:ascii="Arial" w:hAnsi="Arial" w:cs="Arial"/>
          <w:b w:val="0"/>
          <w:sz w:val="20"/>
        </w:rPr>
        <w:t>asset, and</w:t>
      </w:r>
      <w:proofErr w:type="gramEnd"/>
      <w:r w:rsidRPr="00995080">
        <w:rPr>
          <w:rFonts w:ascii="Arial" w:hAnsi="Arial" w:cs="Arial"/>
          <w:b w:val="0"/>
          <w:sz w:val="20"/>
        </w:rPr>
        <w:t xml:space="preserve"> is recognized in the income statement beginning in the period that the recognition criteria are met. </w:t>
      </w:r>
      <w:r>
        <w:rPr>
          <w:rFonts w:ascii="Arial" w:hAnsi="Arial" w:cs="Arial"/>
          <w:b w:val="0"/>
          <w:sz w:val="20"/>
        </w:rPr>
        <w:t xml:space="preserve">The Company records </w:t>
      </w:r>
      <w:r w:rsidRPr="00995080">
        <w:rPr>
          <w:rFonts w:ascii="Arial" w:hAnsi="Arial" w:cs="Arial"/>
          <w:b w:val="0"/>
          <w:sz w:val="20"/>
        </w:rPr>
        <w:t>income grant</w:t>
      </w:r>
      <w:r>
        <w:rPr>
          <w:rFonts w:ascii="Arial" w:hAnsi="Arial" w:cs="Arial"/>
          <w:b w:val="0"/>
          <w:sz w:val="20"/>
        </w:rPr>
        <w:t>s</w:t>
      </w:r>
      <w:r w:rsidRPr="00995080">
        <w:rPr>
          <w:rFonts w:ascii="Arial" w:hAnsi="Arial" w:cs="Arial"/>
          <w:b w:val="0"/>
          <w:sz w:val="20"/>
        </w:rPr>
        <w:t xml:space="preserve"> in “other income”.</w:t>
      </w:r>
    </w:p>
    <w:p w14:paraId="6184FE49" w14:textId="50A1A04C" w:rsidR="00E40CCE" w:rsidRDefault="00E40CCE" w:rsidP="002001CD">
      <w:pPr>
        <w:rPr>
          <w:rFonts w:ascii="Arial" w:hAnsi="Arial" w:cs="Arial"/>
          <w:sz w:val="20"/>
          <w:szCs w:val="24"/>
        </w:rPr>
      </w:pPr>
    </w:p>
    <w:p w14:paraId="2E576856" w14:textId="49C8C1AA" w:rsidR="002001CD" w:rsidRDefault="002001CD">
      <w:pPr>
        <w:rPr>
          <w:rFonts w:ascii="Arial" w:hAnsi="Arial" w:cs="Arial"/>
          <w:b/>
          <w:sz w:val="20"/>
        </w:rPr>
      </w:pPr>
    </w:p>
    <w:p w14:paraId="4F6653CD" w14:textId="56379B8E" w:rsidR="002001CD" w:rsidRDefault="002001CD" w:rsidP="002001CD">
      <w:pPr>
        <w:ind w:left="360"/>
        <w:rPr>
          <w:rFonts w:ascii="Arial" w:hAnsi="Arial" w:cs="Arial"/>
          <w:b/>
          <w:sz w:val="20"/>
        </w:rPr>
      </w:pPr>
      <w:r w:rsidRPr="005A103B">
        <w:rPr>
          <w:rFonts w:ascii="Arial" w:hAnsi="Arial" w:cs="Arial"/>
          <w:b/>
          <w:sz w:val="20"/>
        </w:rPr>
        <w:t>Approvals</w:t>
      </w:r>
    </w:p>
    <w:tbl>
      <w:tblPr>
        <w:tblStyle w:val="TableGrid"/>
        <w:tblW w:w="9265" w:type="dxa"/>
        <w:tblInd w:w="360" w:type="dxa"/>
        <w:tblLook w:val="04A0" w:firstRow="1" w:lastRow="0" w:firstColumn="1" w:lastColumn="0" w:noHBand="0" w:noVBand="1"/>
      </w:tblPr>
      <w:tblGrid>
        <w:gridCol w:w="2280"/>
        <w:gridCol w:w="6985"/>
      </w:tblGrid>
      <w:tr w:rsidR="00A671A5" w14:paraId="292E81ED" w14:textId="77777777" w:rsidTr="00A671A5">
        <w:tc>
          <w:tcPr>
            <w:tcW w:w="2280" w:type="dxa"/>
          </w:tcPr>
          <w:p w14:paraId="23A9CDEB" w14:textId="77777777" w:rsidR="00A671A5" w:rsidRDefault="00A671A5" w:rsidP="00151005">
            <w:pPr>
              <w:rPr>
                <w:rFonts w:ascii="Arial" w:hAnsi="Arial" w:cs="Arial"/>
                <w:b/>
                <w:sz w:val="20"/>
              </w:rPr>
            </w:pPr>
            <w:r>
              <w:rPr>
                <w:rFonts w:ascii="Arial" w:hAnsi="Arial" w:cs="Arial"/>
                <w:b/>
                <w:sz w:val="20"/>
              </w:rPr>
              <w:t>Author</w:t>
            </w:r>
          </w:p>
        </w:tc>
        <w:tc>
          <w:tcPr>
            <w:tcW w:w="6985" w:type="dxa"/>
          </w:tcPr>
          <w:p w14:paraId="444D802B" w14:textId="00896DA1" w:rsidR="00A671A5" w:rsidRDefault="00A671A5" w:rsidP="00151005">
            <w:pPr>
              <w:rPr>
                <w:rFonts w:ascii="Arial" w:hAnsi="Arial" w:cs="Arial"/>
                <w:b/>
                <w:sz w:val="20"/>
              </w:rPr>
            </w:pPr>
            <w:r>
              <w:rPr>
                <w:rFonts w:ascii="Arial" w:hAnsi="Arial" w:cs="Arial"/>
                <w:sz w:val="20"/>
              </w:rPr>
              <w:t>Technical Accounting Team</w:t>
            </w:r>
          </w:p>
        </w:tc>
      </w:tr>
      <w:tr w:rsidR="00A671A5" w:rsidRPr="005A103B" w14:paraId="4434E2C4" w14:textId="77777777" w:rsidTr="00A671A5">
        <w:tc>
          <w:tcPr>
            <w:tcW w:w="2280" w:type="dxa"/>
          </w:tcPr>
          <w:p w14:paraId="783B238E" w14:textId="77777777" w:rsidR="00A671A5" w:rsidRDefault="00A671A5" w:rsidP="00151005">
            <w:pPr>
              <w:rPr>
                <w:rFonts w:ascii="Arial" w:hAnsi="Arial" w:cs="Arial"/>
                <w:b/>
                <w:sz w:val="20"/>
              </w:rPr>
            </w:pPr>
            <w:r>
              <w:rPr>
                <w:rFonts w:ascii="Arial" w:hAnsi="Arial" w:cs="Arial"/>
                <w:b/>
                <w:sz w:val="20"/>
              </w:rPr>
              <w:t>Approved by</w:t>
            </w:r>
          </w:p>
        </w:tc>
        <w:tc>
          <w:tcPr>
            <w:tcW w:w="6985" w:type="dxa"/>
          </w:tcPr>
          <w:p w14:paraId="0FD00336" w14:textId="7E65A764" w:rsidR="00A671A5" w:rsidRPr="005A103B" w:rsidRDefault="0043445F" w:rsidP="00151005">
            <w:pPr>
              <w:rPr>
                <w:rFonts w:ascii="Arial" w:hAnsi="Arial" w:cs="Arial"/>
                <w:sz w:val="20"/>
              </w:rPr>
            </w:pPr>
            <w:r>
              <w:rPr>
                <w:rFonts w:ascii="Arial" w:hAnsi="Arial" w:cs="Arial"/>
                <w:sz w:val="20"/>
              </w:rPr>
              <w:t>Mark Singleton</w:t>
            </w:r>
            <w:r w:rsidR="00D834B4">
              <w:rPr>
                <w:rFonts w:ascii="Arial" w:hAnsi="Arial" w:cs="Arial"/>
                <w:sz w:val="20"/>
              </w:rPr>
              <w:t xml:space="preserve">, </w:t>
            </w:r>
            <w:r w:rsidR="00A671A5" w:rsidRPr="005A103B">
              <w:rPr>
                <w:rFonts w:ascii="Arial" w:hAnsi="Arial" w:cs="Arial"/>
                <w:sz w:val="20"/>
              </w:rPr>
              <w:t xml:space="preserve">Chief </w:t>
            </w:r>
            <w:r>
              <w:rPr>
                <w:rFonts w:ascii="Arial" w:hAnsi="Arial" w:cs="Arial"/>
                <w:sz w:val="20"/>
              </w:rPr>
              <w:t>Financial</w:t>
            </w:r>
            <w:r w:rsidR="00A671A5" w:rsidRPr="005A103B">
              <w:rPr>
                <w:rFonts w:ascii="Arial" w:hAnsi="Arial" w:cs="Arial"/>
                <w:sz w:val="20"/>
              </w:rPr>
              <w:t xml:space="preserve"> Officer</w:t>
            </w:r>
          </w:p>
        </w:tc>
      </w:tr>
    </w:tbl>
    <w:p w14:paraId="3BEC554A" w14:textId="77777777" w:rsidR="002001CD" w:rsidRDefault="002001CD" w:rsidP="002001CD">
      <w:pPr>
        <w:ind w:left="360"/>
        <w:rPr>
          <w:rFonts w:ascii="Arial" w:hAnsi="Arial" w:cs="Arial"/>
          <w:b/>
          <w:sz w:val="20"/>
        </w:rPr>
      </w:pPr>
    </w:p>
    <w:p w14:paraId="7490DAC9" w14:textId="77777777" w:rsidR="002001CD" w:rsidRPr="005A103B" w:rsidRDefault="002001CD" w:rsidP="002001CD">
      <w:pPr>
        <w:ind w:left="360"/>
        <w:rPr>
          <w:rFonts w:ascii="Arial" w:hAnsi="Arial" w:cs="Arial"/>
          <w:b/>
          <w:sz w:val="20"/>
        </w:rPr>
      </w:pPr>
      <w:r>
        <w:rPr>
          <w:rFonts w:ascii="Arial" w:hAnsi="Arial" w:cs="Arial"/>
          <w:b/>
          <w:sz w:val="20"/>
        </w:rPr>
        <w:t>Revision History</w:t>
      </w:r>
    </w:p>
    <w:tbl>
      <w:tblPr>
        <w:tblStyle w:val="TableGrid"/>
        <w:tblW w:w="9237" w:type="dxa"/>
        <w:tblInd w:w="360" w:type="dxa"/>
        <w:tblLook w:val="04A0" w:firstRow="1" w:lastRow="0" w:firstColumn="1" w:lastColumn="0" w:noHBand="0" w:noVBand="1"/>
      </w:tblPr>
      <w:tblGrid>
        <w:gridCol w:w="1103"/>
        <w:gridCol w:w="2042"/>
        <w:gridCol w:w="4590"/>
        <w:gridCol w:w="1502"/>
      </w:tblGrid>
      <w:tr w:rsidR="00B24A52" w14:paraId="0AE00B39" w14:textId="5B2964FF" w:rsidTr="009D7A9F">
        <w:tc>
          <w:tcPr>
            <w:tcW w:w="1103" w:type="dxa"/>
          </w:tcPr>
          <w:p w14:paraId="7426483A" w14:textId="77777777" w:rsidR="00B24A52" w:rsidRDefault="00B24A52" w:rsidP="00151005">
            <w:pPr>
              <w:jc w:val="center"/>
              <w:rPr>
                <w:rFonts w:ascii="Arial" w:hAnsi="Arial" w:cs="Arial"/>
                <w:sz w:val="20"/>
              </w:rPr>
            </w:pPr>
            <w:r>
              <w:rPr>
                <w:rFonts w:ascii="Arial" w:hAnsi="Arial" w:cs="Arial"/>
                <w:sz w:val="20"/>
              </w:rPr>
              <w:t>Current Version</w:t>
            </w:r>
          </w:p>
        </w:tc>
        <w:tc>
          <w:tcPr>
            <w:tcW w:w="2042" w:type="dxa"/>
          </w:tcPr>
          <w:p w14:paraId="7BADD8F8" w14:textId="77777777" w:rsidR="00B24A52" w:rsidRDefault="00B24A52" w:rsidP="00151005">
            <w:pPr>
              <w:rPr>
                <w:rFonts w:ascii="Arial" w:hAnsi="Arial" w:cs="Arial"/>
                <w:sz w:val="20"/>
              </w:rPr>
            </w:pPr>
            <w:r>
              <w:rPr>
                <w:rFonts w:ascii="Arial" w:hAnsi="Arial" w:cs="Arial"/>
                <w:sz w:val="20"/>
              </w:rPr>
              <w:t>Major Changes</w:t>
            </w:r>
          </w:p>
        </w:tc>
        <w:tc>
          <w:tcPr>
            <w:tcW w:w="4590" w:type="dxa"/>
          </w:tcPr>
          <w:p w14:paraId="5769A4B1" w14:textId="77777777" w:rsidR="00B24A52" w:rsidRDefault="00B24A52" w:rsidP="00151005">
            <w:pPr>
              <w:rPr>
                <w:rFonts w:ascii="Arial" w:hAnsi="Arial" w:cs="Arial"/>
                <w:sz w:val="20"/>
              </w:rPr>
            </w:pPr>
            <w:r>
              <w:rPr>
                <w:rFonts w:ascii="Arial" w:hAnsi="Arial" w:cs="Arial"/>
                <w:sz w:val="20"/>
              </w:rPr>
              <w:t>Reason for Change</w:t>
            </w:r>
          </w:p>
        </w:tc>
        <w:tc>
          <w:tcPr>
            <w:tcW w:w="1502" w:type="dxa"/>
          </w:tcPr>
          <w:p w14:paraId="5E14782E" w14:textId="428CCB42" w:rsidR="00B24A52" w:rsidRDefault="00B24A52" w:rsidP="00151005">
            <w:pPr>
              <w:rPr>
                <w:rFonts w:ascii="Arial" w:hAnsi="Arial" w:cs="Arial"/>
                <w:sz w:val="20"/>
              </w:rPr>
            </w:pPr>
            <w:r>
              <w:rPr>
                <w:rFonts w:ascii="Arial" w:hAnsi="Arial" w:cs="Arial"/>
                <w:sz w:val="20"/>
              </w:rPr>
              <w:t>Date</w:t>
            </w:r>
          </w:p>
        </w:tc>
      </w:tr>
      <w:tr w:rsidR="00A671A5" w14:paraId="0C6839BE" w14:textId="52536BFB" w:rsidTr="00241A2B">
        <w:tc>
          <w:tcPr>
            <w:tcW w:w="1103" w:type="dxa"/>
          </w:tcPr>
          <w:p w14:paraId="501B32EB" w14:textId="77777777" w:rsidR="00A671A5" w:rsidRDefault="00A671A5" w:rsidP="00151005">
            <w:pPr>
              <w:jc w:val="center"/>
              <w:rPr>
                <w:rFonts w:ascii="Arial" w:hAnsi="Arial" w:cs="Arial"/>
                <w:sz w:val="20"/>
              </w:rPr>
            </w:pPr>
            <w:r>
              <w:rPr>
                <w:rFonts w:ascii="Arial" w:hAnsi="Arial" w:cs="Arial"/>
                <w:sz w:val="20"/>
              </w:rPr>
              <w:t>1.0</w:t>
            </w:r>
          </w:p>
        </w:tc>
        <w:tc>
          <w:tcPr>
            <w:tcW w:w="6632" w:type="dxa"/>
            <w:gridSpan w:val="2"/>
          </w:tcPr>
          <w:p w14:paraId="64C59EC1" w14:textId="379B6506" w:rsidR="00A671A5" w:rsidRDefault="00A671A5" w:rsidP="00A671A5">
            <w:pPr>
              <w:jc w:val="center"/>
              <w:rPr>
                <w:rFonts w:ascii="Arial" w:hAnsi="Arial" w:cs="Arial"/>
                <w:sz w:val="20"/>
              </w:rPr>
            </w:pPr>
            <w:r>
              <w:rPr>
                <w:rFonts w:ascii="Arial" w:hAnsi="Arial" w:cs="Arial"/>
                <w:sz w:val="20"/>
              </w:rPr>
              <w:t>Original and Previous Updates</w:t>
            </w:r>
          </w:p>
        </w:tc>
        <w:tc>
          <w:tcPr>
            <w:tcW w:w="1502" w:type="dxa"/>
          </w:tcPr>
          <w:p w14:paraId="65624BE8" w14:textId="17BCF73A" w:rsidR="00A671A5" w:rsidRDefault="00A671A5" w:rsidP="00151005">
            <w:pPr>
              <w:rPr>
                <w:rFonts w:ascii="Arial" w:hAnsi="Arial" w:cs="Arial"/>
                <w:sz w:val="20"/>
              </w:rPr>
            </w:pPr>
            <w:r>
              <w:rPr>
                <w:rFonts w:ascii="Arial" w:hAnsi="Arial" w:cs="Arial"/>
                <w:sz w:val="20"/>
              </w:rPr>
              <w:t>Various</w:t>
            </w:r>
          </w:p>
        </w:tc>
      </w:tr>
      <w:tr w:rsidR="00B24A52" w14:paraId="4454CA76" w14:textId="0706E750" w:rsidTr="009D7A9F">
        <w:tc>
          <w:tcPr>
            <w:tcW w:w="1103" w:type="dxa"/>
          </w:tcPr>
          <w:p w14:paraId="62BEDDA4" w14:textId="49CE7B76" w:rsidR="00B24A52" w:rsidRDefault="00B24A52" w:rsidP="00151005">
            <w:pPr>
              <w:jc w:val="center"/>
              <w:rPr>
                <w:rFonts w:ascii="Arial" w:hAnsi="Arial" w:cs="Arial"/>
                <w:sz w:val="20"/>
              </w:rPr>
            </w:pPr>
            <w:r>
              <w:rPr>
                <w:rFonts w:ascii="Arial" w:hAnsi="Arial" w:cs="Arial"/>
                <w:sz w:val="20"/>
              </w:rPr>
              <w:t>2.0</w:t>
            </w:r>
          </w:p>
        </w:tc>
        <w:tc>
          <w:tcPr>
            <w:tcW w:w="2042" w:type="dxa"/>
          </w:tcPr>
          <w:p w14:paraId="4F49CEB1" w14:textId="34411F99" w:rsidR="00B24A52" w:rsidRDefault="00B24A52" w:rsidP="00151005">
            <w:pPr>
              <w:rPr>
                <w:rFonts w:ascii="Arial" w:hAnsi="Arial" w:cs="Arial"/>
                <w:sz w:val="20"/>
              </w:rPr>
            </w:pPr>
            <w:r>
              <w:rPr>
                <w:rFonts w:ascii="Arial" w:hAnsi="Arial" w:cs="Arial"/>
                <w:sz w:val="20"/>
              </w:rPr>
              <w:t>Income taxes, EPS, 2021 Stock Plan, and ESPP</w:t>
            </w:r>
          </w:p>
        </w:tc>
        <w:tc>
          <w:tcPr>
            <w:tcW w:w="4590" w:type="dxa"/>
          </w:tcPr>
          <w:p w14:paraId="5D8B4EA4" w14:textId="1D9500DF" w:rsidR="00B24A52" w:rsidRDefault="00516525" w:rsidP="00151005">
            <w:pPr>
              <w:rPr>
                <w:rFonts w:ascii="Arial" w:hAnsi="Arial" w:cs="Arial"/>
                <w:sz w:val="20"/>
              </w:rPr>
            </w:pPr>
            <w:r>
              <w:rPr>
                <w:rFonts w:ascii="Arial" w:hAnsi="Arial" w:cs="Arial"/>
                <w:sz w:val="20"/>
              </w:rPr>
              <w:t xml:space="preserve">Completion of </w:t>
            </w:r>
            <w:r w:rsidR="00B24A52">
              <w:rPr>
                <w:rFonts w:ascii="Arial" w:hAnsi="Arial" w:cs="Arial"/>
                <w:sz w:val="20"/>
              </w:rPr>
              <w:t xml:space="preserve">IPO </w:t>
            </w:r>
            <w:r>
              <w:rPr>
                <w:rFonts w:ascii="Arial" w:hAnsi="Arial" w:cs="Arial"/>
                <w:sz w:val="20"/>
              </w:rPr>
              <w:t xml:space="preserve">in Feb. 2021 and </w:t>
            </w:r>
            <w:r w:rsidR="00B24A52">
              <w:rPr>
                <w:rFonts w:ascii="Arial" w:hAnsi="Arial" w:cs="Arial"/>
                <w:sz w:val="20"/>
              </w:rPr>
              <w:t>related transactions</w:t>
            </w:r>
            <w:r>
              <w:rPr>
                <w:rFonts w:ascii="Arial" w:hAnsi="Arial" w:cs="Arial"/>
                <w:sz w:val="20"/>
              </w:rPr>
              <w:t xml:space="preserve"> (C Corp. </w:t>
            </w:r>
            <w:r w:rsidR="00934060">
              <w:rPr>
                <w:rFonts w:ascii="Arial" w:hAnsi="Arial" w:cs="Arial"/>
                <w:sz w:val="20"/>
              </w:rPr>
              <w:t xml:space="preserve">income </w:t>
            </w:r>
            <w:r>
              <w:rPr>
                <w:rFonts w:ascii="Arial" w:hAnsi="Arial" w:cs="Arial"/>
                <w:sz w:val="20"/>
              </w:rPr>
              <w:t>taxes and new stock plans)</w:t>
            </w:r>
          </w:p>
        </w:tc>
        <w:tc>
          <w:tcPr>
            <w:tcW w:w="1502" w:type="dxa"/>
          </w:tcPr>
          <w:p w14:paraId="2EE4AE59" w14:textId="334BA132" w:rsidR="00B24A52" w:rsidRDefault="00B24A52" w:rsidP="00151005">
            <w:pPr>
              <w:rPr>
                <w:rFonts w:ascii="Arial" w:hAnsi="Arial" w:cs="Arial"/>
                <w:sz w:val="20"/>
              </w:rPr>
            </w:pPr>
            <w:r>
              <w:rPr>
                <w:rFonts w:ascii="Arial" w:hAnsi="Arial" w:cs="Arial"/>
                <w:sz w:val="20"/>
              </w:rPr>
              <w:t>June 2021</w:t>
            </w:r>
          </w:p>
        </w:tc>
      </w:tr>
      <w:tr w:rsidR="0021207A" w14:paraId="582BA5CB" w14:textId="77777777" w:rsidTr="009D7A9F">
        <w:tc>
          <w:tcPr>
            <w:tcW w:w="1103" w:type="dxa"/>
          </w:tcPr>
          <w:p w14:paraId="2A25B382" w14:textId="0E60A9D7" w:rsidR="0021207A" w:rsidRDefault="0021207A" w:rsidP="00151005">
            <w:pPr>
              <w:jc w:val="center"/>
              <w:rPr>
                <w:rFonts w:ascii="Arial" w:hAnsi="Arial" w:cs="Arial"/>
                <w:sz w:val="20"/>
              </w:rPr>
            </w:pPr>
            <w:r>
              <w:rPr>
                <w:rFonts w:ascii="Arial" w:hAnsi="Arial" w:cs="Arial"/>
                <w:sz w:val="20"/>
              </w:rPr>
              <w:t>3.0</w:t>
            </w:r>
          </w:p>
        </w:tc>
        <w:tc>
          <w:tcPr>
            <w:tcW w:w="2042" w:type="dxa"/>
          </w:tcPr>
          <w:p w14:paraId="03645853" w14:textId="0CEA7CBD" w:rsidR="0021207A" w:rsidRDefault="0021207A" w:rsidP="00151005">
            <w:pPr>
              <w:rPr>
                <w:rFonts w:ascii="Arial" w:hAnsi="Arial" w:cs="Arial"/>
                <w:sz w:val="20"/>
              </w:rPr>
            </w:pPr>
            <w:r>
              <w:rPr>
                <w:rFonts w:ascii="Arial" w:hAnsi="Arial" w:cs="Arial"/>
                <w:sz w:val="20"/>
              </w:rPr>
              <w:t>Non-GAAP Measures</w:t>
            </w:r>
          </w:p>
        </w:tc>
        <w:tc>
          <w:tcPr>
            <w:tcW w:w="4590" w:type="dxa"/>
          </w:tcPr>
          <w:p w14:paraId="3B9D1051" w14:textId="52941580" w:rsidR="0021207A" w:rsidRDefault="0021207A" w:rsidP="0021207A">
            <w:pPr>
              <w:rPr>
                <w:rFonts w:ascii="Arial" w:hAnsi="Arial" w:cs="Arial"/>
                <w:sz w:val="20"/>
              </w:rPr>
            </w:pPr>
            <w:r>
              <w:rPr>
                <w:rFonts w:ascii="Arial" w:hAnsi="Arial" w:cs="Arial"/>
                <w:sz w:val="20"/>
              </w:rPr>
              <w:t xml:space="preserve">Expanded discussion and clarification on Company approved non-GAAP measures and adjustments to non-GAAP measures </w:t>
            </w:r>
          </w:p>
        </w:tc>
        <w:tc>
          <w:tcPr>
            <w:tcW w:w="1502" w:type="dxa"/>
          </w:tcPr>
          <w:p w14:paraId="1387B4B1" w14:textId="31953660" w:rsidR="0021207A" w:rsidRDefault="0021207A" w:rsidP="00151005">
            <w:pPr>
              <w:rPr>
                <w:rFonts w:ascii="Arial" w:hAnsi="Arial" w:cs="Arial"/>
                <w:sz w:val="20"/>
              </w:rPr>
            </w:pPr>
            <w:r>
              <w:rPr>
                <w:rFonts w:ascii="Arial" w:hAnsi="Arial" w:cs="Arial"/>
                <w:sz w:val="20"/>
              </w:rPr>
              <w:t>March 2022</w:t>
            </w:r>
          </w:p>
        </w:tc>
      </w:tr>
      <w:tr w:rsidR="00CA4228" w14:paraId="09CDD13E" w14:textId="77777777" w:rsidTr="00C46E68">
        <w:tc>
          <w:tcPr>
            <w:tcW w:w="1103" w:type="dxa"/>
            <w:vMerge w:val="restart"/>
          </w:tcPr>
          <w:p w14:paraId="7BEF1A11" w14:textId="77777777" w:rsidR="00CA4228" w:rsidRPr="00004575" w:rsidRDefault="00CA4228" w:rsidP="00151005">
            <w:pPr>
              <w:jc w:val="center"/>
              <w:rPr>
                <w:rFonts w:ascii="Arial" w:hAnsi="Arial" w:cs="Arial"/>
                <w:sz w:val="20"/>
              </w:rPr>
            </w:pPr>
            <w:r w:rsidRPr="006534BD">
              <w:rPr>
                <w:rFonts w:ascii="Arial" w:hAnsi="Arial" w:cs="Arial"/>
                <w:sz w:val="20"/>
              </w:rPr>
              <w:t>4.0</w:t>
            </w:r>
          </w:p>
          <w:p w14:paraId="73689843" w14:textId="7F9C62F3" w:rsidR="00CA4228" w:rsidRPr="00004575" w:rsidRDefault="00CA4228" w:rsidP="00151005">
            <w:pPr>
              <w:jc w:val="center"/>
              <w:rPr>
                <w:rFonts w:ascii="Arial" w:hAnsi="Arial" w:cs="Arial"/>
                <w:sz w:val="20"/>
              </w:rPr>
            </w:pPr>
          </w:p>
        </w:tc>
        <w:tc>
          <w:tcPr>
            <w:tcW w:w="2042" w:type="dxa"/>
          </w:tcPr>
          <w:p w14:paraId="0EA63B94" w14:textId="1D84400A" w:rsidR="00CA4228" w:rsidRPr="00004575" w:rsidRDefault="00CA4228" w:rsidP="00151005">
            <w:pPr>
              <w:rPr>
                <w:rFonts w:ascii="Arial" w:hAnsi="Arial" w:cs="Arial"/>
                <w:sz w:val="20"/>
              </w:rPr>
            </w:pPr>
            <w:r>
              <w:rPr>
                <w:rFonts w:ascii="Arial" w:hAnsi="Arial" w:cs="Arial"/>
                <w:sz w:val="20"/>
              </w:rPr>
              <w:t>3.5 Non-GAAP Measures</w:t>
            </w:r>
          </w:p>
        </w:tc>
        <w:tc>
          <w:tcPr>
            <w:tcW w:w="4590" w:type="dxa"/>
          </w:tcPr>
          <w:p w14:paraId="1A484C59" w14:textId="70F3A7FA" w:rsidR="00CA4228" w:rsidRPr="00004575" w:rsidRDefault="00CA4228" w:rsidP="009D7A9F">
            <w:pPr>
              <w:pStyle w:val="ListParagraph"/>
              <w:ind w:left="0"/>
              <w:rPr>
                <w:rFonts w:ascii="Arial" w:hAnsi="Arial" w:cs="Arial"/>
                <w:sz w:val="20"/>
              </w:rPr>
            </w:pPr>
            <w:r>
              <w:rPr>
                <w:rFonts w:ascii="Arial" w:hAnsi="Arial" w:cs="Arial"/>
                <w:sz w:val="20"/>
              </w:rPr>
              <w:t xml:space="preserve">Removed policy and added reference to separate Non-GAAP Policy on </w:t>
            </w:r>
            <w:proofErr w:type="spellStart"/>
            <w:r>
              <w:rPr>
                <w:rFonts w:ascii="Arial" w:hAnsi="Arial" w:cs="Arial"/>
                <w:sz w:val="20"/>
              </w:rPr>
              <w:t>Bionet</w:t>
            </w:r>
            <w:proofErr w:type="spellEnd"/>
            <w:r>
              <w:rPr>
                <w:rFonts w:ascii="Arial" w:hAnsi="Arial" w:cs="Arial"/>
                <w:sz w:val="20"/>
              </w:rPr>
              <w:t>.</w:t>
            </w:r>
          </w:p>
        </w:tc>
        <w:tc>
          <w:tcPr>
            <w:tcW w:w="1502" w:type="dxa"/>
            <w:vMerge w:val="restart"/>
          </w:tcPr>
          <w:p w14:paraId="1E30F81A" w14:textId="77777777" w:rsidR="00CA4228" w:rsidRDefault="00CA4228" w:rsidP="00151005">
            <w:pPr>
              <w:rPr>
                <w:rFonts w:ascii="Arial" w:hAnsi="Arial" w:cs="Arial"/>
                <w:sz w:val="20"/>
              </w:rPr>
            </w:pPr>
            <w:r>
              <w:rPr>
                <w:rFonts w:ascii="Arial" w:hAnsi="Arial" w:cs="Arial"/>
                <w:sz w:val="20"/>
              </w:rPr>
              <w:t>December 2023</w:t>
            </w:r>
          </w:p>
          <w:p w14:paraId="62A5B2EB" w14:textId="2D8CF02D" w:rsidR="00CA4228" w:rsidRDefault="00CA4228" w:rsidP="00151005">
            <w:pPr>
              <w:rPr>
                <w:rFonts w:ascii="Arial" w:hAnsi="Arial" w:cs="Arial"/>
                <w:sz w:val="20"/>
              </w:rPr>
            </w:pPr>
          </w:p>
        </w:tc>
      </w:tr>
      <w:tr w:rsidR="00CA4228" w14:paraId="22D0E6F7" w14:textId="77777777" w:rsidTr="008B7A80">
        <w:tc>
          <w:tcPr>
            <w:tcW w:w="1103" w:type="dxa"/>
            <w:vMerge/>
          </w:tcPr>
          <w:p w14:paraId="6A89BA2D" w14:textId="1655FD9C" w:rsidR="00CA4228" w:rsidRPr="009D7A9F" w:rsidRDefault="00CA4228" w:rsidP="00151005">
            <w:pPr>
              <w:jc w:val="center"/>
              <w:rPr>
                <w:rFonts w:ascii="Arial" w:hAnsi="Arial" w:cs="Arial"/>
                <w:sz w:val="20"/>
              </w:rPr>
            </w:pPr>
          </w:p>
        </w:tc>
        <w:tc>
          <w:tcPr>
            <w:tcW w:w="2042" w:type="dxa"/>
          </w:tcPr>
          <w:p w14:paraId="40B850C6" w14:textId="1A767E89" w:rsidR="00CA4228" w:rsidRPr="009D7A9F" w:rsidRDefault="00CA4228" w:rsidP="00151005">
            <w:pPr>
              <w:rPr>
                <w:rFonts w:ascii="Arial" w:hAnsi="Arial" w:cs="Arial"/>
                <w:sz w:val="20"/>
              </w:rPr>
            </w:pPr>
            <w:r w:rsidRPr="009D7A9F">
              <w:rPr>
                <w:rFonts w:ascii="Arial" w:hAnsi="Arial" w:cs="Arial"/>
                <w:sz w:val="20"/>
              </w:rPr>
              <w:t>11.1 Fixed Assets</w:t>
            </w:r>
          </w:p>
        </w:tc>
        <w:tc>
          <w:tcPr>
            <w:tcW w:w="4590" w:type="dxa"/>
          </w:tcPr>
          <w:p w14:paraId="2260D60D" w14:textId="77777777" w:rsidR="00CA4228" w:rsidRPr="007110AA" w:rsidRDefault="00CA4228" w:rsidP="00491D45">
            <w:pPr>
              <w:pStyle w:val="ListParagraph"/>
              <w:numPr>
                <w:ilvl w:val="0"/>
                <w:numId w:val="84"/>
              </w:numPr>
              <w:rPr>
                <w:rFonts w:ascii="Arial" w:hAnsi="Arial" w:cs="Arial"/>
                <w:sz w:val="20"/>
              </w:rPr>
            </w:pPr>
            <w:r w:rsidRPr="009D7A9F">
              <w:rPr>
                <w:rFonts w:ascii="Arial" w:hAnsi="Arial" w:cs="Arial"/>
                <w:sz w:val="20"/>
              </w:rPr>
              <w:t>Added Business process and reengineering/information technology transformation projects accounting treatment</w:t>
            </w:r>
          </w:p>
          <w:p w14:paraId="580B17C4" w14:textId="5EBA6022" w:rsidR="00CA4228" w:rsidRPr="009D7A9F" w:rsidRDefault="00CA4228" w:rsidP="009D7A9F">
            <w:pPr>
              <w:pStyle w:val="ListParagraph"/>
              <w:numPr>
                <w:ilvl w:val="0"/>
                <w:numId w:val="84"/>
              </w:numPr>
              <w:rPr>
                <w:rFonts w:ascii="Arial" w:hAnsi="Arial" w:cs="Arial"/>
                <w:sz w:val="20"/>
              </w:rPr>
            </w:pPr>
            <w:r w:rsidRPr="007110AA">
              <w:rPr>
                <w:rFonts w:ascii="Arial" w:hAnsi="Arial" w:cs="Arial"/>
                <w:sz w:val="20"/>
              </w:rPr>
              <w:t>Added Recap table of project costs capitalized or expensed by project stage and activity type</w:t>
            </w:r>
          </w:p>
          <w:p w14:paraId="79FFA281" w14:textId="2922E138" w:rsidR="00CA4228" w:rsidRPr="007110AA" w:rsidRDefault="00CA4228" w:rsidP="0021207A">
            <w:pPr>
              <w:rPr>
                <w:rFonts w:ascii="Arial" w:hAnsi="Arial" w:cs="Arial"/>
                <w:sz w:val="20"/>
              </w:rPr>
            </w:pPr>
          </w:p>
        </w:tc>
        <w:tc>
          <w:tcPr>
            <w:tcW w:w="1502" w:type="dxa"/>
            <w:vMerge/>
          </w:tcPr>
          <w:p w14:paraId="5F0A2240" w14:textId="5A879376" w:rsidR="00CA4228" w:rsidRDefault="00CA4228" w:rsidP="00151005">
            <w:pPr>
              <w:rPr>
                <w:rFonts w:ascii="Arial" w:hAnsi="Arial" w:cs="Arial"/>
                <w:sz w:val="20"/>
              </w:rPr>
            </w:pPr>
          </w:p>
        </w:tc>
      </w:tr>
      <w:tr w:rsidR="00CA4228" w14:paraId="0308167F" w14:textId="77777777" w:rsidTr="008B7A80">
        <w:tc>
          <w:tcPr>
            <w:tcW w:w="1103" w:type="dxa"/>
            <w:vMerge/>
          </w:tcPr>
          <w:p w14:paraId="433952EB" w14:textId="77777777" w:rsidR="00CA4228" w:rsidRPr="009D7A9F" w:rsidRDefault="00CA4228" w:rsidP="00151005">
            <w:pPr>
              <w:jc w:val="center"/>
              <w:rPr>
                <w:rFonts w:ascii="Arial" w:hAnsi="Arial" w:cs="Arial"/>
                <w:sz w:val="20"/>
              </w:rPr>
            </w:pPr>
          </w:p>
        </w:tc>
        <w:tc>
          <w:tcPr>
            <w:tcW w:w="2042" w:type="dxa"/>
          </w:tcPr>
          <w:p w14:paraId="2B049E88" w14:textId="77777777" w:rsidR="00CA4228" w:rsidRPr="009D7A9F" w:rsidRDefault="00CA4228" w:rsidP="00151005">
            <w:pPr>
              <w:rPr>
                <w:rFonts w:ascii="Arial" w:hAnsi="Arial" w:cs="Arial"/>
                <w:sz w:val="20"/>
              </w:rPr>
            </w:pPr>
            <w:r w:rsidRPr="009D7A9F">
              <w:rPr>
                <w:rFonts w:ascii="Arial" w:hAnsi="Arial" w:cs="Arial"/>
                <w:sz w:val="20"/>
              </w:rPr>
              <w:t>11.10 Impairment of long-lived assets held and used</w:t>
            </w:r>
          </w:p>
          <w:p w14:paraId="092EDC43" w14:textId="004E3A7A" w:rsidR="00CA4228" w:rsidRPr="009D7A9F" w:rsidRDefault="00CA4228" w:rsidP="00151005">
            <w:pPr>
              <w:rPr>
                <w:rFonts w:ascii="Arial" w:hAnsi="Arial" w:cs="Arial"/>
                <w:sz w:val="20"/>
              </w:rPr>
            </w:pPr>
          </w:p>
        </w:tc>
        <w:tc>
          <w:tcPr>
            <w:tcW w:w="4590" w:type="dxa"/>
            <w:vMerge w:val="restart"/>
          </w:tcPr>
          <w:p w14:paraId="65C4B67A" w14:textId="40897ECC" w:rsidR="00CA4228" w:rsidRPr="007110AA" w:rsidRDefault="00CA4228" w:rsidP="0021207A">
            <w:pPr>
              <w:rPr>
                <w:rFonts w:ascii="Arial" w:hAnsi="Arial" w:cs="Arial"/>
                <w:sz w:val="20"/>
              </w:rPr>
            </w:pPr>
            <w:r w:rsidRPr="007110AA">
              <w:rPr>
                <w:rFonts w:ascii="Arial" w:hAnsi="Arial" w:cs="Arial"/>
                <w:sz w:val="20"/>
              </w:rPr>
              <w:t xml:space="preserve">Added impairment accounting of long-lived assets </w:t>
            </w:r>
            <w:r>
              <w:rPr>
                <w:rFonts w:ascii="Arial" w:hAnsi="Arial" w:cs="Arial"/>
                <w:sz w:val="20"/>
              </w:rPr>
              <w:t xml:space="preserve">re: </w:t>
            </w:r>
            <w:r w:rsidRPr="007110AA">
              <w:rPr>
                <w:rFonts w:ascii="Arial" w:hAnsi="Arial" w:cs="Arial"/>
                <w:sz w:val="20"/>
              </w:rPr>
              <w:t xml:space="preserve">fixed assets, </w:t>
            </w:r>
            <w:r>
              <w:rPr>
                <w:rFonts w:ascii="Arial" w:hAnsi="Arial" w:cs="Arial"/>
                <w:sz w:val="20"/>
              </w:rPr>
              <w:t>ROU assets (</w:t>
            </w:r>
            <w:r w:rsidRPr="007110AA">
              <w:rPr>
                <w:rFonts w:ascii="Arial" w:hAnsi="Arial" w:cs="Arial"/>
                <w:sz w:val="20"/>
              </w:rPr>
              <w:t>leases capitalized under ASC 842</w:t>
            </w:r>
            <w:r>
              <w:rPr>
                <w:rFonts w:ascii="Arial" w:hAnsi="Arial" w:cs="Arial"/>
                <w:sz w:val="20"/>
              </w:rPr>
              <w:t>)</w:t>
            </w:r>
            <w:r w:rsidRPr="007110AA">
              <w:rPr>
                <w:rFonts w:ascii="Arial" w:hAnsi="Arial" w:cs="Arial"/>
                <w:sz w:val="20"/>
              </w:rPr>
              <w:t xml:space="preserve"> and other intangibles that are amortized</w:t>
            </w:r>
          </w:p>
        </w:tc>
        <w:tc>
          <w:tcPr>
            <w:tcW w:w="1502" w:type="dxa"/>
            <w:vMerge/>
          </w:tcPr>
          <w:p w14:paraId="469952BE" w14:textId="77777777" w:rsidR="00CA4228" w:rsidRDefault="00CA4228" w:rsidP="00151005">
            <w:pPr>
              <w:rPr>
                <w:rFonts w:ascii="Arial" w:hAnsi="Arial" w:cs="Arial"/>
                <w:sz w:val="20"/>
              </w:rPr>
            </w:pPr>
          </w:p>
        </w:tc>
      </w:tr>
      <w:tr w:rsidR="00CA4228" w14:paraId="10C97EBC" w14:textId="77777777" w:rsidTr="008B7A80">
        <w:tc>
          <w:tcPr>
            <w:tcW w:w="1103" w:type="dxa"/>
            <w:vMerge/>
          </w:tcPr>
          <w:p w14:paraId="6853C6F3" w14:textId="77777777" w:rsidR="00CA4228" w:rsidRPr="009D7A9F" w:rsidRDefault="00CA4228" w:rsidP="00151005">
            <w:pPr>
              <w:jc w:val="center"/>
              <w:rPr>
                <w:rFonts w:ascii="Arial" w:hAnsi="Arial" w:cs="Arial"/>
                <w:sz w:val="20"/>
              </w:rPr>
            </w:pPr>
          </w:p>
        </w:tc>
        <w:tc>
          <w:tcPr>
            <w:tcW w:w="2042" w:type="dxa"/>
          </w:tcPr>
          <w:p w14:paraId="710436B0" w14:textId="650BEBA2" w:rsidR="00CA4228" w:rsidRPr="009D7A9F" w:rsidRDefault="00CA4228" w:rsidP="00151005">
            <w:pPr>
              <w:rPr>
                <w:rFonts w:ascii="Arial" w:hAnsi="Arial" w:cs="Arial"/>
                <w:sz w:val="20"/>
              </w:rPr>
            </w:pPr>
            <w:r w:rsidRPr="009D7A9F">
              <w:rPr>
                <w:rFonts w:ascii="Arial" w:hAnsi="Arial" w:cs="Arial"/>
                <w:sz w:val="20"/>
              </w:rPr>
              <w:t>12.3 Impairment of ROU assets</w:t>
            </w:r>
          </w:p>
        </w:tc>
        <w:tc>
          <w:tcPr>
            <w:tcW w:w="4590" w:type="dxa"/>
            <w:vMerge/>
          </w:tcPr>
          <w:p w14:paraId="49B2E9AF" w14:textId="77777777" w:rsidR="00CA4228" w:rsidRPr="007110AA" w:rsidRDefault="00CA4228" w:rsidP="0021207A">
            <w:pPr>
              <w:rPr>
                <w:rFonts w:ascii="Arial" w:hAnsi="Arial" w:cs="Arial"/>
                <w:sz w:val="20"/>
              </w:rPr>
            </w:pPr>
          </w:p>
        </w:tc>
        <w:tc>
          <w:tcPr>
            <w:tcW w:w="1502" w:type="dxa"/>
            <w:vMerge/>
          </w:tcPr>
          <w:p w14:paraId="6FBBC034" w14:textId="77777777" w:rsidR="00CA4228" w:rsidRDefault="00CA4228" w:rsidP="00151005">
            <w:pPr>
              <w:rPr>
                <w:rFonts w:ascii="Arial" w:hAnsi="Arial" w:cs="Arial"/>
                <w:sz w:val="20"/>
              </w:rPr>
            </w:pPr>
          </w:p>
        </w:tc>
      </w:tr>
      <w:tr w:rsidR="00CA4228" w14:paraId="6FC2C944" w14:textId="77777777" w:rsidTr="008B7A80">
        <w:tc>
          <w:tcPr>
            <w:tcW w:w="1103" w:type="dxa"/>
            <w:vMerge/>
          </w:tcPr>
          <w:p w14:paraId="1D0F9EE2" w14:textId="77777777" w:rsidR="00CA4228" w:rsidRPr="009D7A9F" w:rsidRDefault="00CA4228" w:rsidP="00151005">
            <w:pPr>
              <w:jc w:val="center"/>
              <w:rPr>
                <w:rFonts w:ascii="Arial" w:hAnsi="Arial" w:cs="Arial"/>
                <w:sz w:val="20"/>
              </w:rPr>
            </w:pPr>
          </w:p>
        </w:tc>
        <w:tc>
          <w:tcPr>
            <w:tcW w:w="2042" w:type="dxa"/>
          </w:tcPr>
          <w:p w14:paraId="7B4EFA7F" w14:textId="7F0C2567" w:rsidR="00CA4228" w:rsidRPr="009D7A9F" w:rsidRDefault="00CA4228" w:rsidP="00151005">
            <w:pPr>
              <w:rPr>
                <w:rFonts w:ascii="Arial" w:hAnsi="Arial" w:cs="Arial"/>
                <w:sz w:val="20"/>
              </w:rPr>
            </w:pPr>
            <w:r w:rsidRPr="009D7A9F">
              <w:rPr>
                <w:rFonts w:ascii="Arial" w:hAnsi="Arial" w:cs="Arial"/>
                <w:sz w:val="20"/>
              </w:rPr>
              <w:t>14 Intangible Assets, other than Goodwill</w:t>
            </w:r>
          </w:p>
        </w:tc>
        <w:tc>
          <w:tcPr>
            <w:tcW w:w="4590" w:type="dxa"/>
            <w:vMerge/>
          </w:tcPr>
          <w:p w14:paraId="1FECD565" w14:textId="77777777" w:rsidR="00CA4228" w:rsidRPr="007110AA" w:rsidRDefault="00CA4228" w:rsidP="0021207A">
            <w:pPr>
              <w:rPr>
                <w:rFonts w:ascii="Arial" w:hAnsi="Arial" w:cs="Arial"/>
                <w:sz w:val="20"/>
              </w:rPr>
            </w:pPr>
          </w:p>
        </w:tc>
        <w:tc>
          <w:tcPr>
            <w:tcW w:w="1502" w:type="dxa"/>
            <w:vMerge/>
          </w:tcPr>
          <w:p w14:paraId="5BC355E3" w14:textId="77777777" w:rsidR="00CA4228" w:rsidRDefault="00CA4228" w:rsidP="00151005">
            <w:pPr>
              <w:rPr>
                <w:rFonts w:ascii="Arial" w:hAnsi="Arial" w:cs="Arial"/>
                <w:sz w:val="20"/>
              </w:rPr>
            </w:pPr>
          </w:p>
        </w:tc>
      </w:tr>
      <w:tr w:rsidR="00CA4228" w14:paraId="4E956AF9" w14:textId="77777777" w:rsidTr="008B7A80">
        <w:tc>
          <w:tcPr>
            <w:tcW w:w="1103" w:type="dxa"/>
            <w:vMerge/>
          </w:tcPr>
          <w:p w14:paraId="1EB033CF" w14:textId="77777777" w:rsidR="00CA4228" w:rsidRPr="009D7A9F" w:rsidRDefault="00CA4228" w:rsidP="00151005">
            <w:pPr>
              <w:jc w:val="center"/>
              <w:rPr>
                <w:rFonts w:ascii="Arial" w:hAnsi="Arial" w:cs="Arial"/>
                <w:sz w:val="20"/>
              </w:rPr>
            </w:pPr>
          </w:p>
        </w:tc>
        <w:tc>
          <w:tcPr>
            <w:tcW w:w="2042" w:type="dxa"/>
          </w:tcPr>
          <w:p w14:paraId="68C05AA6" w14:textId="0A417D0D" w:rsidR="00CA4228" w:rsidRPr="009D7A9F" w:rsidRDefault="00CA4228" w:rsidP="00151005">
            <w:pPr>
              <w:rPr>
                <w:rFonts w:ascii="Arial" w:hAnsi="Arial" w:cs="Arial"/>
                <w:sz w:val="20"/>
              </w:rPr>
            </w:pPr>
            <w:r w:rsidRPr="009D7A9F">
              <w:rPr>
                <w:rFonts w:ascii="Arial" w:hAnsi="Arial" w:cs="Arial"/>
                <w:sz w:val="20"/>
              </w:rPr>
              <w:t>19 Commitment and Contingencies</w:t>
            </w:r>
          </w:p>
        </w:tc>
        <w:tc>
          <w:tcPr>
            <w:tcW w:w="4590" w:type="dxa"/>
          </w:tcPr>
          <w:p w14:paraId="366272F7" w14:textId="2B49C2B0" w:rsidR="00CA4228" w:rsidRPr="007110AA" w:rsidRDefault="00CA4228" w:rsidP="0021207A">
            <w:pPr>
              <w:rPr>
                <w:rFonts w:ascii="Arial" w:hAnsi="Arial" w:cs="Arial"/>
                <w:sz w:val="20"/>
              </w:rPr>
            </w:pPr>
            <w:r w:rsidRPr="007110AA">
              <w:rPr>
                <w:rFonts w:ascii="Arial" w:hAnsi="Arial" w:cs="Arial"/>
                <w:sz w:val="20"/>
              </w:rPr>
              <w:t xml:space="preserve">Clarification </w:t>
            </w:r>
            <w:r>
              <w:rPr>
                <w:rFonts w:ascii="Arial" w:hAnsi="Arial" w:cs="Arial"/>
                <w:sz w:val="20"/>
              </w:rPr>
              <w:t>added to accounting policy p</w:t>
            </w:r>
            <w:r w:rsidRPr="007110AA">
              <w:rPr>
                <w:rFonts w:ascii="Arial" w:hAnsi="Arial" w:cs="Arial"/>
                <w:sz w:val="20"/>
              </w:rPr>
              <w:t>ertaining to discounting accrued liabilities</w:t>
            </w:r>
          </w:p>
        </w:tc>
        <w:tc>
          <w:tcPr>
            <w:tcW w:w="1502" w:type="dxa"/>
            <w:vMerge/>
          </w:tcPr>
          <w:p w14:paraId="79E12D57" w14:textId="77777777" w:rsidR="00CA4228" w:rsidRDefault="00CA4228" w:rsidP="00151005">
            <w:pPr>
              <w:rPr>
                <w:rFonts w:ascii="Arial" w:hAnsi="Arial" w:cs="Arial"/>
                <w:sz w:val="20"/>
              </w:rPr>
            </w:pPr>
          </w:p>
        </w:tc>
      </w:tr>
      <w:tr w:rsidR="00CA4228" w14:paraId="7994C8D2" w14:textId="77777777" w:rsidTr="008B7A80">
        <w:tc>
          <w:tcPr>
            <w:tcW w:w="1103" w:type="dxa"/>
            <w:vMerge/>
          </w:tcPr>
          <w:p w14:paraId="1270E968" w14:textId="77777777" w:rsidR="00CA4228" w:rsidRPr="009D7A9F" w:rsidRDefault="00CA4228" w:rsidP="00151005">
            <w:pPr>
              <w:jc w:val="center"/>
              <w:rPr>
                <w:rFonts w:ascii="Arial" w:hAnsi="Arial" w:cs="Arial"/>
                <w:sz w:val="20"/>
              </w:rPr>
            </w:pPr>
          </w:p>
        </w:tc>
        <w:tc>
          <w:tcPr>
            <w:tcW w:w="2042" w:type="dxa"/>
          </w:tcPr>
          <w:p w14:paraId="10B70231" w14:textId="3E8790E6" w:rsidR="00CA4228" w:rsidRPr="009D7A9F" w:rsidRDefault="00CA4228" w:rsidP="00151005">
            <w:pPr>
              <w:rPr>
                <w:rFonts w:ascii="Arial" w:hAnsi="Arial" w:cs="Arial"/>
                <w:sz w:val="20"/>
              </w:rPr>
            </w:pPr>
            <w:r w:rsidRPr="009D7A9F">
              <w:rPr>
                <w:rFonts w:ascii="Arial" w:hAnsi="Arial" w:cs="Arial"/>
                <w:sz w:val="20"/>
              </w:rPr>
              <w:t xml:space="preserve">20 </w:t>
            </w:r>
            <w:r w:rsidRPr="007110AA">
              <w:rPr>
                <w:rFonts w:ascii="Arial" w:hAnsi="Arial" w:cs="Arial"/>
                <w:sz w:val="20"/>
              </w:rPr>
              <w:t>Fair</w:t>
            </w:r>
            <w:r w:rsidRPr="009D7A9F">
              <w:rPr>
                <w:rFonts w:ascii="Arial" w:hAnsi="Arial" w:cs="Arial"/>
                <w:sz w:val="20"/>
              </w:rPr>
              <w:t xml:space="preserve"> Value</w:t>
            </w:r>
          </w:p>
        </w:tc>
        <w:tc>
          <w:tcPr>
            <w:tcW w:w="4590" w:type="dxa"/>
          </w:tcPr>
          <w:p w14:paraId="57DBC93F" w14:textId="744C5E71" w:rsidR="00CA4228" w:rsidRPr="007110AA" w:rsidRDefault="00CA4228" w:rsidP="0021207A">
            <w:pPr>
              <w:rPr>
                <w:rFonts w:ascii="Arial" w:hAnsi="Arial" w:cs="Arial"/>
                <w:sz w:val="20"/>
              </w:rPr>
            </w:pPr>
            <w:r w:rsidRPr="007110AA">
              <w:rPr>
                <w:rFonts w:ascii="Arial" w:hAnsi="Arial" w:cs="Arial"/>
                <w:sz w:val="20"/>
              </w:rPr>
              <w:t>Updated ESPP offering period changed to a 6-month offering period from a 3-month offering period beginning Dec. 1 2023</w:t>
            </w:r>
          </w:p>
        </w:tc>
        <w:tc>
          <w:tcPr>
            <w:tcW w:w="1502" w:type="dxa"/>
            <w:vMerge/>
          </w:tcPr>
          <w:p w14:paraId="25C45F9D" w14:textId="77777777" w:rsidR="00CA4228" w:rsidRDefault="00CA4228" w:rsidP="00151005">
            <w:pPr>
              <w:rPr>
                <w:rFonts w:ascii="Arial" w:hAnsi="Arial" w:cs="Arial"/>
                <w:sz w:val="20"/>
              </w:rPr>
            </w:pPr>
          </w:p>
        </w:tc>
      </w:tr>
      <w:tr w:rsidR="00CA4228" w14:paraId="70E3625B" w14:textId="77777777" w:rsidTr="008B7A80">
        <w:tc>
          <w:tcPr>
            <w:tcW w:w="1103" w:type="dxa"/>
            <w:vMerge/>
          </w:tcPr>
          <w:p w14:paraId="5BE928BB" w14:textId="77777777" w:rsidR="00CA4228" w:rsidRPr="009D7A9F" w:rsidRDefault="00CA4228" w:rsidP="00E94F16">
            <w:pPr>
              <w:jc w:val="center"/>
              <w:rPr>
                <w:rFonts w:ascii="Arial" w:hAnsi="Arial" w:cs="Arial"/>
                <w:sz w:val="20"/>
              </w:rPr>
            </w:pPr>
          </w:p>
        </w:tc>
        <w:tc>
          <w:tcPr>
            <w:tcW w:w="2042" w:type="dxa"/>
          </w:tcPr>
          <w:p w14:paraId="56DF2F5B" w14:textId="2DB2736A" w:rsidR="00CA4228" w:rsidRPr="009D7A9F" w:rsidRDefault="00CA4228" w:rsidP="00E94F16">
            <w:pPr>
              <w:rPr>
                <w:rFonts w:ascii="Arial" w:hAnsi="Arial" w:cs="Arial"/>
                <w:sz w:val="20"/>
              </w:rPr>
            </w:pPr>
            <w:r w:rsidRPr="009D7A9F">
              <w:rPr>
                <w:rFonts w:ascii="Arial" w:hAnsi="Arial" w:cs="Arial"/>
                <w:sz w:val="20"/>
              </w:rPr>
              <w:t xml:space="preserve">26 Exit or Disposal Cost, including Restructuring Cost </w:t>
            </w:r>
          </w:p>
          <w:p w14:paraId="1ACC854C" w14:textId="09895E31" w:rsidR="00CA4228" w:rsidRPr="009D7A9F" w:rsidRDefault="00CA4228" w:rsidP="00E94F16">
            <w:pPr>
              <w:rPr>
                <w:rFonts w:ascii="Arial" w:hAnsi="Arial" w:cs="Arial"/>
                <w:sz w:val="20"/>
              </w:rPr>
            </w:pPr>
          </w:p>
        </w:tc>
        <w:tc>
          <w:tcPr>
            <w:tcW w:w="4590" w:type="dxa"/>
          </w:tcPr>
          <w:p w14:paraId="332275A6" w14:textId="1DB7B678" w:rsidR="00CA4228" w:rsidRPr="007110AA" w:rsidRDefault="00CA4228" w:rsidP="00E94F16">
            <w:pPr>
              <w:rPr>
                <w:rFonts w:ascii="Arial" w:hAnsi="Arial" w:cs="Arial"/>
                <w:sz w:val="20"/>
              </w:rPr>
            </w:pPr>
            <w:r w:rsidRPr="007110AA">
              <w:rPr>
                <w:rFonts w:ascii="Arial" w:hAnsi="Arial" w:cs="Arial"/>
                <w:sz w:val="20"/>
              </w:rPr>
              <w:t xml:space="preserve">Added </w:t>
            </w:r>
            <w:r>
              <w:rPr>
                <w:rFonts w:ascii="Arial" w:hAnsi="Arial" w:cs="Arial"/>
                <w:sz w:val="20"/>
              </w:rPr>
              <w:t xml:space="preserve">accounting </w:t>
            </w:r>
            <w:r w:rsidRPr="007110AA">
              <w:rPr>
                <w:rFonts w:ascii="Arial" w:hAnsi="Arial" w:cs="Arial"/>
                <w:sz w:val="20"/>
              </w:rPr>
              <w:t>policy election for seller contingent consideration</w:t>
            </w:r>
          </w:p>
        </w:tc>
        <w:tc>
          <w:tcPr>
            <w:tcW w:w="1502" w:type="dxa"/>
            <w:vMerge/>
          </w:tcPr>
          <w:p w14:paraId="4C082E41" w14:textId="77777777" w:rsidR="00CA4228" w:rsidRDefault="00CA4228" w:rsidP="00E94F16">
            <w:pPr>
              <w:rPr>
                <w:rFonts w:ascii="Arial" w:hAnsi="Arial" w:cs="Arial"/>
                <w:sz w:val="20"/>
              </w:rPr>
            </w:pPr>
          </w:p>
        </w:tc>
      </w:tr>
      <w:tr w:rsidR="00494156" w14:paraId="01A0E5AE" w14:textId="77777777" w:rsidTr="008B7A80">
        <w:tc>
          <w:tcPr>
            <w:tcW w:w="1103" w:type="dxa"/>
            <w:vMerge w:val="restart"/>
          </w:tcPr>
          <w:p w14:paraId="555C2378" w14:textId="1497FCC9" w:rsidR="00494156" w:rsidRPr="009D7A9F" w:rsidRDefault="00494156" w:rsidP="00BE53D1">
            <w:pPr>
              <w:jc w:val="center"/>
              <w:rPr>
                <w:rFonts w:ascii="Arial" w:hAnsi="Arial" w:cs="Arial"/>
                <w:sz w:val="20"/>
              </w:rPr>
            </w:pPr>
            <w:r>
              <w:rPr>
                <w:rFonts w:ascii="Arial" w:hAnsi="Arial" w:cs="Arial"/>
                <w:sz w:val="20"/>
              </w:rPr>
              <w:t>5</w:t>
            </w:r>
          </w:p>
        </w:tc>
        <w:tc>
          <w:tcPr>
            <w:tcW w:w="2042" w:type="dxa"/>
          </w:tcPr>
          <w:p w14:paraId="4AC99F9D" w14:textId="4A40BF7A" w:rsidR="00494156" w:rsidRPr="009D7A9F" w:rsidRDefault="00494156" w:rsidP="00BE53D1">
            <w:pPr>
              <w:rPr>
                <w:rFonts w:ascii="Arial" w:hAnsi="Arial" w:cs="Arial"/>
                <w:sz w:val="20"/>
              </w:rPr>
            </w:pPr>
            <w:r>
              <w:rPr>
                <w:rFonts w:ascii="Arial" w:hAnsi="Arial" w:cs="Arial"/>
                <w:sz w:val="20"/>
              </w:rPr>
              <w:t>Table of Contents</w:t>
            </w:r>
          </w:p>
        </w:tc>
        <w:tc>
          <w:tcPr>
            <w:tcW w:w="4590" w:type="dxa"/>
          </w:tcPr>
          <w:p w14:paraId="33FD2EE4" w14:textId="30FE9139" w:rsidR="00494156" w:rsidRPr="007110AA" w:rsidRDefault="00494156" w:rsidP="00BE53D1">
            <w:pPr>
              <w:rPr>
                <w:rFonts w:ascii="Arial" w:hAnsi="Arial" w:cs="Arial"/>
                <w:sz w:val="20"/>
              </w:rPr>
            </w:pPr>
            <w:r>
              <w:rPr>
                <w:rFonts w:ascii="Arial" w:hAnsi="Arial" w:cs="Arial"/>
                <w:sz w:val="20"/>
              </w:rPr>
              <w:t>Re-numbered table of contents, and made some formatting adjustments</w:t>
            </w:r>
          </w:p>
        </w:tc>
        <w:tc>
          <w:tcPr>
            <w:tcW w:w="1502" w:type="dxa"/>
            <w:vMerge w:val="restart"/>
          </w:tcPr>
          <w:p w14:paraId="25030BCE" w14:textId="77777777" w:rsidR="00494156" w:rsidRDefault="00494156" w:rsidP="00BE53D1">
            <w:pPr>
              <w:rPr>
                <w:rFonts w:ascii="Arial" w:hAnsi="Arial" w:cs="Arial"/>
                <w:sz w:val="20"/>
              </w:rPr>
            </w:pPr>
            <w:r>
              <w:rPr>
                <w:rFonts w:ascii="Arial" w:hAnsi="Arial" w:cs="Arial"/>
                <w:sz w:val="20"/>
              </w:rPr>
              <w:t xml:space="preserve">February </w:t>
            </w:r>
          </w:p>
          <w:p w14:paraId="12FCA70A" w14:textId="047559CF" w:rsidR="00494156" w:rsidRDefault="00494156" w:rsidP="00BE53D1">
            <w:pPr>
              <w:rPr>
                <w:rFonts w:ascii="Arial" w:hAnsi="Arial" w:cs="Arial"/>
                <w:sz w:val="20"/>
              </w:rPr>
            </w:pPr>
            <w:r>
              <w:rPr>
                <w:rFonts w:ascii="Arial" w:hAnsi="Arial" w:cs="Arial"/>
                <w:sz w:val="20"/>
              </w:rPr>
              <w:t>2025</w:t>
            </w:r>
          </w:p>
        </w:tc>
      </w:tr>
      <w:tr w:rsidR="00494156" w14:paraId="7DA0CBD1" w14:textId="77777777" w:rsidTr="008B7A80">
        <w:tc>
          <w:tcPr>
            <w:tcW w:w="1103" w:type="dxa"/>
            <w:vMerge/>
          </w:tcPr>
          <w:p w14:paraId="0791AD77" w14:textId="77777777" w:rsidR="00494156" w:rsidRDefault="00494156" w:rsidP="00BE53D1">
            <w:pPr>
              <w:jc w:val="center"/>
              <w:rPr>
                <w:rFonts w:ascii="Arial" w:hAnsi="Arial" w:cs="Arial"/>
                <w:sz w:val="20"/>
              </w:rPr>
            </w:pPr>
          </w:p>
        </w:tc>
        <w:tc>
          <w:tcPr>
            <w:tcW w:w="2042" w:type="dxa"/>
          </w:tcPr>
          <w:p w14:paraId="7AB852D4" w14:textId="311612BF" w:rsidR="00494156" w:rsidRDefault="00494156" w:rsidP="00BE53D1">
            <w:pPr>
              <w:rPr>
                <w:rFonts w:ascii="Arial" w:hAnsi="Arial" w:cs="Arial"/>
                <w:sz w:val="20"/>
              </w:rPr>
            </w:pPr>
            <w:r>
              <w:rPr>
                <w:rFonts w:ascii="Arial" w:hAnsi="Arial" w:cs="Arial"/>
                <w:sz w:val="20"/>
              </w:rPr>
              <w:t>Edits</w:t>
            </w:r>
          </w:p>
        </w:tc>
        <w:tc>
          <w:tcPr>
            <w:tcW w:w="4590" w:type="dxa"/>
          </w:tcPr>
          <w:p w14:paraId="0C4E981A" w14:textId="36D9F776" w:rsidR="00494156" w:rsidRDefault="00494156" w:rsidP="00BE53D1">
            <w:pPr>
              <w:rPr>
                <w:rFonts w:ascii="Arial" w:hAnsi="Arial" w:cs="Arial"/>
                <w:sz w:val="20"/>
              </w:rPr>
            </w:pPr>
            <w:r>
              <w:rPr>
                <w:rFonts w:ascii="Arial" w:hAnsi="Arial" w:cs="Arial"/>
                <w:sz w:val="20"/>
              </w:rPr>
              <w:t>Removed VP of Accounting title throughout (no longer a role at BVS) and replaced with CAO</w:t>
            </w:r>
          </w:p>
        </w:tc>
        <w:tc>
          <w:tcPr>
            <w:tcW w:w="1502" w:type="dxa"/>
            <w:vMerge/>
          </w:tcPr>
          <w:p w14:paraId="3E2DC9BA" w14:textId="7A686391" w:rsidR="00494156" w:rsidRDefault="00494156" w:rsidP="00BE53D1">
            <w:pPr>
              <w:rPr>
                <w:rFonts w:ascii="Arial" w:hAnsi="Arial" w:cs="Arial"/>
                <w:sz w:val="20"/>
              </w:rPr>
            </w:pPr>
          </w:p>
        </w:tc>
      </w:tr>
      <w:tr w:rsidR="00494156" w14:paraId="06A81690" w14:textId="77777777" w:rsidTr="008B7A80">
        <w:tc>
          <w:tcPr>
            <w:tcW w:w="1103" w:type="dxa"/>
            <w:vMerge/>
          </w:tcPr>
          <w:p w14:paraId="0AFE7826" w14:textId="77777777" w:rsidR="00494156" w:rsidRDefault="00494156" w:rsidP="00BE53D1">
            <w:pPr>
              <w:jc w:val="center"/>
              <w:rPr>
                <w:rFonts w:ascii="Arial" w:hAnsi="Arial" w:cs="Arial"/>
                <w:sz w:val="20"/>
              </w:rPr>
            </w:pPr>
          </w:p>
        </w:tc>
        <w:tc>
          <w:tcPr>
            <w:tcW w:w="2042" w:type="dxa"/>
          </w:tcPr>
          <w:p w14:paraId="5F540C44" w14:textId="038FC2D0" w:rsidR="00494156" w:rsidRDefault="00494156" w:rsidP="00BE53D1">
            <w:pPr>
              <w:rPr>
                <w:rFonts w:ascii="Arial" w:hAnsi="Arial" w:cs="Arial"/>
                <w:sz w:val="20"/>
              </w:rPr>
            </w:pPr>
            <w:r>
              <w:rPr>
                <w:rFonts w:ascii="Arial" w:hAnsi="Arial" w:cs="Arial"/>
                <w:sz w:val="20"/>
              </w:rPr>
              <w:t>8. Credit Limits</w:t>
            </w:r>
          </w:p>
        </w:tc>
        <w:tc>
          <w:tcPr>
            <w:tcW w:w="4590" w:type="dxa"/>
          </w:tcPr>
          <w:p w14:paraId="36676AF7" w14:textId="43A328C0" w:rsidR="00494156" w:rsidRDefault="00494156" w:rsidP="00BE53D1">
            <w:pPr>
              <w:rPr>
                <w:rFonts w:ascii="Arial" w:hAnsi="Arial" w:cs="Arial"/>
                <w:sz w:val="20"/>
              </w:rPr>
            </w:pPr>
            <w:r>
              <w:rPr>
                <w:rFonts w:ascii="Arial" w:hAnsi="Arial" w:cs="Arial"/>
                <w:sz w:val="20"/>
              </w:rPr>
              <w:t xml:space="preserve">Removed content and referred to </w:t>
            </w:r>
            <w:r w:rsidRPr="008D3BBE">
              <w:rPr>
                <w:rFonts w:ascii="Arial" w:hAnsi="Arial" w:cs="Arial"/>
                <w:sz w:val="20"/>
              </w:rPr>
              <w:t>“</w:t>
            </w:r>
            <w:hyperlink r:id="rId18" w:tgtFrame="_blank" w:history="1">
              <w:r w:rsidRPr="009A1167">
                <w:rPr>
                  <w:rStyle w:val="Hyperlink"/>
                  <w:rFonts w:ascii="Arial" w:hAnsi="Arial" w:cs="Arial"/>
                  <w:color w:val="auto"/>
                  <w:sz w:val="20"/>
                  <w:u w:val="none"/>
                </w:rPr>
                <w:t>Bioventus Global Policy, Credit</w:t>
              </w:r>
            </w:hyperlink>
            <w:r>
              <w:rPr>
                <w:rFonts w:ascii="Arial" w:hAnsi="Arial" w:cs="Arial"/>
                <w:sz w:val="20"/>
              </w:rPr>
              <w:t>” to avoid duplication/inconsistencies in documentation</w:t>
            </w:r>
          </w:p>
        </w:tc>
        <w:tc>
          <w:tcPr>
            <w:tcW w:w="1502" w:type="dxa"/>
            <w:vMerge/>
          </w:tcPr>
          <w:p w14:paraId="387F4C8A" w14:textId="77777777" w:rsidR="00494156" w:rsidRDefault="00494156" w:rsidP="00BE53D1">
            <w:pPr>
              <w:rPr>
                <w:rFonts w:ascii="Arial" w:hAnsi="Arial" w:cs="Arial"/>
                <w:sz w:val="20"/>
              </w:rPr>
            </w:pPr>
          </w:p>
        </w:tc>
      </w:tr>
      <w:tr w:rsidR="00494156" w14:paraId="55AA6FFA" w14:textId="77777777" w:rsidTr="008B7A80">
        <w:tc>
          <w:tcPr>
            <w:tcW w:w="1103" w:type="dxa"/>
            <w:vMerge/>
          </w:tcPr>
          <w:p w14:paraId="1DB7AF5E" w14:textId="77777777" w:rsidR="00494156" w:rsidRDefault="00494156" w:rsidP="00BE53D1">
            <w:pPr>
              <w:jc w:val="center"/>
              <w:rPr>
                <w:rFonts w:ascii="Arial" w:hAnsi="Arial" w:cs="Arial"/>
                <w:sz w:val="20"/>
              </w:rPr>
            </w:pPr>
          </w:p>
        </w:tc>
        <w:tc>
          <w:tcPr>
            <w:tcW w:w="2042" w:type="dxa"/>
          </w:tcPr>
          <w:p w14:paraId="2ACF58A8" w14:textId="62F74E0B" w:rsidR="00494156" w:rsidRDefault="00494156" w:rsidP="00BE53D1">
            <w:pPr>
              <w:rPr>
                <w:rFonts w:ascii="Arial" w:hAnsi="Arial" w:cs="Arial"/>
                <w:sz w:val="20"/>
              </w:rPr>
            </w:pPr>
            <w:r>
              <w:rPr>
                <w:rFonts w:ascii="Arial" w:hAnsi="Arial" w:cs="Arial"/>
                <w:sz w:val="20"/>
              </w:rPr>
              <w:t>9.4 Amortization Threshold Amount</w:t>
            </w:r>
          </w:p>
        </w:tc>
        <w:tc>
          <w:tcPr>
            <w:tcW w:w="4590" w:type="dxa"/>
          </w:tcPr>
          <w:p w14:paraId="6F88DEA6" w14:textId="3496B35D" w:rsidR="00494156" w:rsidRDefault="00494156" w:rsidP="00BE53D1">
            <w:pPr>
              <w:rPr>
                <w:rFonts w:ascii="Arial" w:hAnsi="Arial" w:cs="Arial"/>
                <w:sz w:val="20"/>
              </w:rPr>
            </w:pPr>
            <w:r>
              <w:rPr>
                <w:rFonts w:ascii="Arial" w:hAnsi="Arial" w:cs="Arial"/>
                <w:sz w:val="20"/>
              </w:rPr>
              <w:t>Added policy to not need to waterfall/amortize items $20K and below, and instead expense directly to COGS</w:t>
            </w:r>
          </w:p>
        </w:tc>
        <w:tc>
          <w:tcPr>
            <w:tcW w:w="1502" w:type="dxa"/>
            <w:vMerge/>
          </w:tcPr>
          <w:p w14:paraId="70D27A4B" w14:textId="77777777" w:rsidR="00494156" w:rsidRDefault="00494156" w:rsidP="00BE53D1">
            <w:pPr>
              <w:rPr>
                <w:rFonts w:ascii="Arial" w:hAnsi="Arial" w:cs="Arial"/>
                <w:sz w:val="20"/>
              </w:rPr>
            </w:pPr>
          </w:p>
        </w:tc>
      </w:tr>
      <w:tr w:rsidR="00494156" w14:paraId="34A0E041" w14:textId="77777777" w:rsidTr="008B7A80">
        <w:tc>
          <w:tcPr>
            <w:tcW w:w="1103" w:type="dxa"/>
            <w:vMerge/>
          </w:tcPr>
          <w:p w14:paraId="16166F59" w14:textId="77777777" w:rsidR="00494156" w:rsidRDefault="00494156" w:rsidP="00BE53D1">
            <w:pPr>
              <w:jc w:val="center"/>
              <w:rPr>
                <w:rFonts w:ascii="Arial" w:hAnsi="Arial" w:cs="Arial"/>
                <w:sz w:val="20"/>
              </w:rPr>
            </w:pPr>
          </w:p>
        </w:tc>
        <w:tc>
          <w:tcPr>
            <w:tcW w:w="2042" w:type="dxa"/>
          </w:tcPr>
          <w:p w14:paraId="4A617658" w14:textId="59A4A7DE" w:rsidR="00494156" w:rsidRPr="00B7453A" w:rsidRDefault="00494156" w:rsidP="00BE53D1">
            <w:pPr>
              <w:rPr>
                <w:rFonts w:ascii="Arial" w:hAnsi="Arial" w:cs="Arial"/>
                <w:sz w:val="20"/>
              </w:rPr>
            </w:pPr>
            <w:r>
              <w:rPr>
                <w:rFonts w:ascii="Arial" w:hAnsi="Arial" w:cs="Arial"/>
                <w:sz w:val="20"/>
              </w:rPr>
              <w:t xml:space="preserve">Fixed Assets </w:t>
            </w:r>
            <w:r w:rsidRPr="00B7453A">
              <w:rPr>
                <w:rFonts w:ascii="Arial" w:hAnsi="Arial" w:cs="Arial"/>
                <w:sz w:val="20"/>
              </w:rPr>
              <w:t>11.</w:t>
            </w:r>
            <w:r>
              <w:rPr>
                <w:rFonts w:ascii="Arial" w:hAnsi="Arial" w:cs="Arial"/>
                <w:sz w:val="20"/>
              </w:rPr>
              <w:t>1 Acquisitions and Capitalization</w:t>
            </w:r>
          </w:p>
          <w:p w14:paraId="75BA55B0" w14:textId="77777777" w:rsidR="00494156" w:rsidRDefault="00494156" w:rsidP="00BE53D1">
            <w:pPr>
              <w:rPr>
                <w:rFonts w:ascii="Arial" w:hAnsi="Arial" w:cs="Arial"/>
                <w:sz w:val="20"/>
              </w:rPr>
            </w:pPr>
          </w:p>
        </w:tc>
        <w:tc>
          <w:tcPr>
            <w:tcW w:w="4590" w:type="dxa"/>
          </w:tcPr>
          <w:p w14:paraId="1BA8B131" w14:textId="77777777" w:rsidR="00494156" w:rsidRDefault="00494156" w:rsidP="00BE53D1">
            <w:pPr>
              <w:rPr>
                <w:rFonts w:ascii="Arial" w:hAnsi="Arial" w:cs="Arial"/>
                <w:sz w:val="20"/>
              </w:rPr>
            </w:pPr>
            <w:r>
              <w:rPr>
                <w:rFonts w:ascii="Arial" w:hAnsi="Arial" w:cs="Arial"/>
                <w:sz w:val="20"/>
              </w:rPr>
              <w:t xml:space="preserve">Included our policy on capitalizing FTE salaries, which includes judgment due to FTE’s inherent involvement in other company administrative tasks that are expensed. </w:t>
            </w:r>
          </w:p>
          <w:p w14:paraId="7BE3DE47" w14:textId="77777777" w:rsidR="00494156" w:rsidRDefault="00494156" w:rsidP="00BE53D1">
            <w:pPr>
              <w:rPr>
                <w:rFonts w:ascii="Arial" w:hAnsi="Arial" w:cs="Arial"/>
                <w:sz w:val="20"/>
              </w:rPr>
            </w:pPr>
          </w:p>
          <w:p w14:paraId="08762F29" w14:textId="260C6F25" w:rsidR="00494156" w:rsidRDefault="00494156" w:rsidP="00BE53D1">
            <w:pPr>
              <w:rPr>
                <w:rFonts w:ascii="Arial" w:hAnsi="Arial" w:cs="Arial"/>
                <w:sz w:val="20"/>
              </w:rPr>
            </w:pPr>
            <w:r>
              <w:rPr>
                <w:rFonts w:ascii="Arial" w:hAnsi="Arial" w:cs="Arial"/>
                <w:sz w:val="20"/>
              </w:rPr>
              <w:t>Deleted “Internal process engineering, design, project management and commissioning/start-up costs cannot exceed 25% of the total including such costs (unless agreed in writing by the CFO) and must form part of the Capital Expenditure Authorization Request (CER).”  Deleted this sentence because it is operational in nature and not an accounting policy.</w:t>
            </w:r>
          </w:p>
        </w:tc>
        <w:tc>
          <w:tcPr>
            <w:tcW w:w="1502" w:type="dxa"/>
            <w:vMerge/>
          </w:tcPr>
          <w:p w14:paraId="38FBF2DD" w14:textId="77777777" w:rsidR="00494156" w:rsidRDefault="00494156" w:rsidP="00BE53D1">
            <w:pPr>
              <w:rPr>
                <w:rFonts w:ascii="Arial" w:hAnsi="Arial" w:cs="Arial"/>
                <w:sz w:val="20"/>
              </w:rPr>
            </w:pPr>
          </w:p>
        </w:tc>
      </w:tr>
      <w:tr w:rsidR="00494156" w14:paraId="702B68AC" w14:textId="77777777" w:rsidTr="008B7A80">
        <w:tc>
          <w:tcPr>
            <w:tcW w:w="1103" w:type="dxa"/>
            <w:vMerge/>
          </w:tcPr>
          <w:p w14:paraId="228DD691" w14:textId="77777777" w:rsidR="00494156" w:rsidRDefault="00494156" w:rsidP="00BE53D1">
            <w:pPr>
              <w:jc w:val="center"/>
              <w:rPr>
                <w:rFonts w:ascii="Arial" w:hAnsi="Arial" w:cs="Arial"/>
                <w:sz w:val="20"/>
              </w:rPr>
            </w:pPr>
          </w:p>
        </w:tc>
        <w:tc>
          <w:tcPr>
            <w:tcW w:w="2042" w:type="dxa"/>
          </w:tcPr>
          <w:p w14:paraId="3038A2AA" w14:textId="4D291A49" w:rsidR="00494156" w:rsidRPr="00B7453A" w:rsidRDefault="00494156" w:rsidP="00BE53D1">
            <w:pPr>
              <w:rPr>
                <w:rFonts w:ascii="Arial" w:hAnsi="Arial" w:cs="Arial"/>
                <w:sz w:val="20"/>
              </w:rPr>
            </w:pPr>
            <w:r>
              <w:rPr>
                <w:rFonts w:ascii="Arial" w:hAnsi="Arial" w:cs="Arial"/>
                <w:sz w:val="20"/>
              </w:rPr>
              <w:t xml:space="preserve">Fixed Assets </w:t>
            </w:r>
            <w:r w:rsidRPr="00B7453A">
              <w:rPr>
                <w:rFonts w:ascii="Arial" w:hAnsi="Arial" w:cs="Arial"/>
                <w:sz w:val="20"/>
              </w:rPr>
              <w:t xml:space="preserve">11.3 Software Developed for Internal Use </w:t>
            </w:r>
          </w:p>
          <w:p w14:paraId="366D2F39" w14:textId="14C04C37" w:rsidR="00494156" w:rsidRPr="00B7453A" w:rsidRDefault="00494156" w:rsidP="00BE53D1">
            <w:pPr>
              <w:rPr>
                <w:rFonts w:ascii="Arial" w:hAnsi="Arial" w:cs="Arial"/>
                <w:sz w:val="20"/>
              </w:rPr>
            </w:pPr>
          </w:p>
        </w:tc>
        <w:tc>
          <w:tcPr>
            <w:tcW w:w="4590" w:type="dxa"/>
          </w:tcPr>
          <w:p w14:paraId="15B9808A" w14:textId="74FE6557" w:rsidR="00494156" w:rsidRDefault="00494156" w:rsidP="00BE53D1">
            <w:pPr>
              <w:rPr>
                <w:rFonts w:ascii="Arial" w:hAnsi="Arial" w:cs="Arial"/>
                <w:sz w:val="20"/>
              </w:rPr>
            </w:pPr>
            <w:r>
              <w:rPr>
                <w:rFonts w:ascii="Arial" w:hAnsi="Arial" w:cs="Arial"/>
                <w:sz w:val="20"/>
              </w:rPr>
              <w:t>Under the application development stage, examples are listed as items to capitalize or expense.  P</w:t>
            </w:r>
            <w:r w:rsidRPr="00B7453A">
              <w:rPr>
                <w:rFonts w:ascii="Arial" w:hAnsi="Arial" w:cs="Arial"/>
                <w:sz w:val="20"/>
              </w:rPr>
              <w:t>roject management had been listed under capitalized, but we have made a policy decision to expense them going forward as they are not material and difficult to track</w:t>
            </w:r>
          </w:p>
        </w:tc>
        <w:tc>
          <w:tcPr>
            <w:tcW w:w="1502" w:type="dxa"/>
            <w:vMerge/>
          </w:tcPr>
          <w:p w14:paraId="0884F804" w14:textId="77777777" w:rsidR="00494156" w:rsidRDefault="00494156" w:rsidP="00BE53D1">
            <w:pPr>
              <w:rPr>
                <w:rFonts w:ascii="Arial" w:hAnsi="Arial" w:cs="Arial"/>
                <w:sz w:val="20"/>
              </w:rPr>
            </w:pPr>
          </w:p>
        </w:tc>
      </w:tr>
      <w:tr w:rsidR="00494156" w14:paraId="63BEE526" w14:textId="77777777" w:rsidTr="008B7A80">
        <w:tc>
          <w:tcPr>
            <w:tcW w:w="1103" w:type="dxa"/>
            <w:vMerge/>
          </w:tcPr>
          <w:p w14:paraId="7B1AD6B9" w14:textId="77777777" w:rsidR="00494156" w:rsidRDefault="00494156" w:rsidP="00BE53D1">
            <w:pPr>
              <w:jc w:val="center"/>
              <w:rPr>
                <w:rFonts w:ascii="Arial" w:hAnsi="Arial" w:cs="Arial"/>
                <w:sz w:val="20"/>
              </w:rPr>
            </w:pPr>
          </w:p>
        </w:tc>
        <w:tc>
          <w:tcPr>
            <w:tcW w:w="2042" w:type="dxa"/>
          </w:tcPr>
          <w:p w14:paraId="4FAC7AA1" w14:textId="7E028371" w:rsidR="00494156" w:rsidRDefault="00494156" w:rsidP="00BE53D1">
            <w:pPr>
              <w:rPr>
                <w:rFonts w:ascii="Arial" w:hAnsi="Arial" w:cs="Arial"/>
                <w:sz w:val="20"/>
              </w:rPr>
            </w:pPr>
            <w:r>
              <w:rPr>
                <w:rFonts w:ascii="Arial" w:hAnsi="Arial" w:cs="Arial"/>
                <w:sz w:val="20"/>
              </w:rPr>
              <w:t>Fixed Assets 11.10 Impairment of long-lived assets held and used</w:t>
            </w:r>
          </w:p>
        </w:tc>
        <w:tc>
          <w:tcPr>
            <w:tcW w:w="4590" w:type="dxa"/>
          </w:tcPr>
          <w:p w14:paraId="26E96368" w14:textId="3C872DF5" w:rsidR="00494156" w:rsidRDefault="00494156" w:rsidP="00BE53D1">
            <w:pPr>
              <w:rPr>
                <w:rFonts w:ascii="Arial" w:hAnsi="Arial" w:cs="Arial"/>
                <w:sz w:val="20"/>
              </w:rPr>
            </w:pPr>
            <w:r>
              <w:rPr>
                <w:rFonts w:ascii="Arial" w:hAnsi="Arial" w:cs="Arial"/>
                <w:sz w:val="20"/>
              </w:rPr>
              <w:t>Added item to table of contents (no updates in body of policy)</w:t>
            </w:r>
          </w:p>
        </w:tc>
        <w:tc>
          <w:tcPr>
            <w:tcW w:w="1502" w:type="dxa"/>
            <w:vMerge/>
          </w:tcPr>
          <w:p w14:paraId="62975C5A" w14:textId="77777777" w:rsidR="00494156" w:rsidRDefault="00494156" w:rsidP="00BE53D1">
            <w:pPr>
              <w:rPr>
                <w:rFonts w:ascii="Arial" w:hAnsi="Arial" w:cs="Arial"/>
                <w:sz w:val="20"/>
              </w:rPr>
            </w:pPr>
          </w:p>
        </w:tc>
      </w:tr>
      <w:tr w:rsidR="00E704A1" w14:paraId="55C52AB2" w14:textId="77777777" w:rsidTr="008B7A80">
        <w:tc>
          <w:tcPr>
            <w:tcW w:w="1103" w:type="dxa"/>
            <w:vMerge w:val="restart"/>
          </w:tcPr>
          <w:p w14:paraId="59FB5B9A" w14:textId="5268F653" w:rsidR="00E704A1" w:rsidRDefault="00E704A1" w:rsidP="00BE53D1">
            <w:pPr>
              <w:jc w:val="center"/>
              <w:rPr>
                <w:rFonts w:ascii="Arial" w:hAnsi="Arial" w:cs="Arial"/>
                <w:sz w:val="20"/>
              </w:rPr>
            </w:pPr>
            <w:r>
              <w:rPr>
                <w:rFonts w:ascii="Arial" w:hAnsi="Arial" w:cs="Arial"/>
                <w:sz w:val="20"/>
              </w:rPr>
              <w:t>6</w:t>
            </w:r>
          </w:p>
        </w:tc>
        <w:tc>
          <w:tcPr>
            <w:tcW w:w="2042" w:type="dxa"/>
          </w:tcPr>
          <w:p w14:paraId="1AF61716" w14:textId="79E99EBF" w:rsidR="00E704A1" w:rsidRDefault="00E704A1" w:rsidP="00BE53D1">
            <w:pPr>
              <w:rPr>
                <w:rFonts w:ascii="Arial" w:hAnsi="Arial" w:cs="Arial"/>
                <w:sz w:val="20"/>
              </w:rPr>
            </w:pPr>
            <w:r>
              <w:rPr>
                <w:rFonts w:ascii="Arial" w:hAnsi="Arial" w:cs="Arial"/>
                <w:sz w:val="20"/>
              </w:rPr>
              <w:t>9.4 Amortization Threshold Amount</w:t>
            </w:r>
          </w:p>
        </w:tc>
        <w:tc>
          <w:tcPr>
            <w:tcW w:w="4590" w:type="dxa"/>
          </w:tcPr>
          <w:p w14:paraId="6DE06F4C" w14:textId="28A6132F" w:rsidR="00E704A1" w:rsidRDefault="00E704A1" w:rsidP="00BE53D1">
            <w:pPr>
              <w:rPr>
                <w:rFonts w:ascii="Arial" w:hAnsi="Arial" w:cs="Arial"/>
                <w:sz w:val="20"/>
              </w:rPr>
            </w:pPr>
            <w:r>
              <w:rPr>
                <w:rFonts w:ascii="Arial" w:hAnsi="Arial" w:cs="Arial"/>
                <w:sz w:val="20"/>
              </w:rPr>
              <w:t>Grammatical edits</w:t>
            </w:r>
          </w:p>
        </w:tc>
        <w:tc>
          <w:tcPr>
            <w:tcW w:w="1502" w:type="dxa"/>
            <w:vMerge w:val="restart"/>
          </w:tcPr>
          <w:p w14:paraId="561A9B50" w14:textId="0AF13F5F" w:rsidR="00E704A1" w:rsidRDefault="00E704A1" w:rsidP="00BE53D1">
            <w:pPr>
              <w:rPr>
                <w:rFonts w:ascii="Arial" w:hAnsi="Arial" w:cs="Arial"/>
                <w:sz w:val="20"/>
              </w:rPr>
            </w:pPr>
            <w:r>
              <w:rPr>
                <w:rFonts w:ascii="Arial" w:hAnsi="Arial" w:cs="Arial"/>
                <w:sz w:val="20"/>
              </w:rPr>
              <w:t>March 2025</w:t>
            </w:r>
          </w:p>
        </w:tc>
      </w:tr>
      <w:tr w:rsidR="00E704A1" w14:paraId="3FEBFBC8" w14:textId="77777777" w:rsidTr="008B7A80">
        <w:tc>
          <w:tcPr>
            <w:tcW w:w="1103" w:type="dxa"/>
            <w:vMerge/>
          </w:tcPr>
          <w:p w14:paraId="297A0F4A" w14:textId="77777777" w:rsidR="00E704A1" w:rsidRDefault="00E704A1" w:rsidP="00BE53D1">
            <w:pPr>
              <w:jc w:val="center"/>
              <w:rPr>
                <w:rFonts w:ascii="Arial" w:hAnsi="Arial" w:cs="Arial"/>
                <w:sz w:val="20"/>
              </w:rPr>
            </w:pPr>
          </w:p>
        </w:tc>
        <w:tc>
          <w:tcPr>
            <w:tcW w:w="2042" w:type="dxa"/>
          </w:tcPr>
          <w:p w14:paraId="4AA9424E" w14:textId="2499352F" w:rsidR="00E704A1" w:rsidRDefault="00E704A1" w:rsidP="00BE53D1">
            <w:pPr>
              <w:rPr>
                <w:rFonts w:ascii="Arial" w:hAnsi="Arial" w:cs="Arial"/>
                <w:sz w:val="20"/>
              </w:rPr>
            </w:pPr>
            <w:r>
              <w:rPr>
                <w:rFonts w:ascii="Arial" w:hAnsi="Arial" w:cs="Arial"/>
                <w:sz w:val="20"/>
              </w:rPr>
              <w:t>9.5 Inventory Reserves</w:t>
            </w:r>
          </w:p>
        </w:tc>
        <w:tc>
          <w:tcPr>
            <w:tcW w:w="4590" w:type="dxa"/>
          </w:tcPr>
          <w:p w14:paraId="5A617B8F" w14:textId="21368E1F" w:rsidR="00E704A1" w:rsidRDefault="00E704A1" w:rsidP="00BE53D1">
            <w:pPr>
              <w:rPr>
                <w:rFonts w:ascii="Arial" w:hAnsi="Arial" w:cs="Arial"/>
                <w:sz w:val="20"/>
              </w:rPr>
            </w:pPr>
            <w:r>
              <w:rPr>
                <w:rFonts w:ascii="Arial" w:hAnsi="Arial" w:cs="Arial"/>
                <w:sz w:val="20"/>
              </w:rPr>
              <w:t>Clarifying edits</w:t>
            </w:r>
          </w:p>
        </w:tc>
        <w:tc>
          <w:tcPr>
            <w:tcW w:w="1502" w:type="dxa"/>
            <w:vMerge/>
          </w:tcPr>
          <w:p w14:paraId="68CDF2E4" w14:textId="77777777" w:rsidR="00E704A1" w:rsidRDefault="00E704A1" w:rsidP="00BE53D1">
            <w:pPr>
              <w:rPr>
                <w:rFonts w:ascii="Arial" w:hAnsi="Arial" w:cs="Arial"/>
                <w:sz w:val="20"/>
              </w:rPr>
            </w:pPr>
          </w:p>
        </w:tc>
      </w:tr>
      <w:tr w:rsidR="00E704A1" w14:paraId="5238A3A8" w14:textId="77777777" w:rsidTr="008B7A80">
        <w:tc>
          <w:tcPr>
            <w:tcW w:w="1103" w:type="dxa"/>
            <w:vMerge/>
          </w:tcPr>
          <w:p w14:paraId="13B0D628" w14:textId="77777777" w:rsidR="00E704A1" w:rsidRDefault="00E704A1" w:rsidP="004958BC">
            <w:pPr>
              <w:jc w:val="center"/>
              <w:rPr>
                <w:rFonts w:ascii="Arial" w:hAnsi="Arial" w:cs="Arial"/>
                <w:sz w:val="20"/>
              </w:rPr>
            </w:pPr>
          </w:p>
        </w:tc>
        <w:tc>
          <w:tcPr>
            <w:tcW w:w="2042" w:type="dxa"/>
          </w:tcPr>
          <w:p w14:paraId="02147063" w14:textId="77BA8802" w:rsidR="00E704A1" w:rsidRDefault="00E704A1" w:rsidP="004958BC">
            <w:pPr>
              <w:rPr>
                <w:rFonts w:ascii="Arial" w:hAnsi="Arial" w:cs="Arial"/>
                <w:sz w:val="20"/>
              </w:rPr>
            </w:pPr>
            <w:r>
              <w:rPr>
                <w:rFonts w:ascii="Arial" w:hAnsi="Arial" w:cs="Arial"/>
                <w:sz w:val="20"/>
              </w:rPr>
              <w:t xml:space="preserve">9.7 Inventory Write-off and </w:t>
            </w:r>
            <w:r w:rsidR="00797D5A">
              <w:rPr>
                <w:rFonts w:ascii="Arial" w:hAnsi="Arial" w:cs="Arial"/>
                <w:sz w:val="20"/>
              </w:rPr>
              <w:t xml:space="preserve">Physical Count Adjustments </w:t>
            </w:r>
            <w:r>
              <w:rPr>
                <w:rFonts w:ascii="Arial" w:hAnsi="Arial" w:cs="Arial"/>
                <w:sz w:val="20"/>
              </w:rPr>
              <w:t>Approval Limits</w:t>
            </w:r>
          </w:p>
        </w:tc>
        <w:tc>
          <w:tcPr>
            <w:tcW w:w="4590" w:type="dxa"/>
          </w:tcPr>
          <w:p w14:paraId="65282DC0" w14:textId="19A85C6C" w:rsidR="00E704A1" w:rsidRDefault="00E704A1" w:rsidP="004958BC">
            <w:pPr>
              <w:rPr>
                <w:rFonts w:ascii="Arial" w:hAnsi="Arial" w:cs="Arial"/>
                <w:sz w:val="20"/>
              </w:rPr>
            </w:pPr>
            <w:r>
              <w:rPr>
                <w:rFonts w:ascii="Arial" w:hAnsi="Arial" w:cs="Arial"/>
                <w:sz w:val="20"/>
              </w:rPr>
              <w:t>Added</w:t>
            </w:r>
          </w:p>
        </w:tc>
        <w:tc>
          <w:tcPr>
            <w:tcW w:w="1502" w:type="dxa"/>
            <w:vMerge/>
          </w:tcPr>
          <w:p w14:paraId="517009E6" w14:textId="77777777" w:rsidR="00E704A1" w:rsidRDefault="00E704A1" w:rsidP="004958BC">
            <w:pPr>
              <w:rPr>
                <w:rFonts w:ascii="Arial" w:hAnsi="Arial" w:cs="Arial"/>
                <w:sz w:val="20"/>
              </w:rPr>
            </w:pPr>
          </w:p>
        </w:tc>
      </w:tr>
      <w:tr w:rsidR="00E704A1" w14:paraId="5414F74A" w14:textId="77777777" w:rsidTr="008B7A80">
        <w:tc>
          <w:tcPr>
            <w:tcW w:w="1103" w:type="dxa"/>
            <w:vMerge/>
          </w:tcPr>
          <w:p w14:paraId="487D1C08" w14:textId="77777777" w:rsidR="00E704A1" w:rsidRDefault="00E704A1" w:rsidP="004958BC">
            <w:pPr>
              <w:jc w:val="center"/>
              <w:rPr>
                <w:rFonts w:ascii="Arial" w:hAnsi="Arial" w:cs="Arial"/>
                <w:sz w:val="20"/>
              </w:rPr>
            </w:pPr>
          </w:p>
        </w:tc>
        <w:tc>
          <w:tcPr>
            <w:tcW w:w="2042" w:type="dxa"/>
          </w:tcPr>
          <w:p w14:paraId="02A9275E" w14:textId="0EA4359E" w:rsidR="00E704A1" w:rsidRDefault="00E704A1" w:rsidP="004958BC">
            <w:pPr>
              <w:rPr>
                <w:rFonts w:ascii="Arial" w:hAnsi="Arial" w:cs="Arial"/>
                <w:sz w:val="20"/>
              </w:rPr>
            </w:pPr>
            <w:r>
              <w:rPr>
                <w:rFonts w:ascii="Arial" w:hAnsi="Arial" w:cs="Arial"/>
                <w:sz w:val="20"/>
              </w:rPr>
              <w:t>9.8 Vendor Held Inventory Confirmations</w:t>
            </w:r>
          </w:p>
        </w:tc>
        <w:tc>
          <w:tcPr>
            <w:tcW w:w="4590" w:type="dxa"/>
          </w:tcPr>
          <w:p w14:paraId="2E57E710" w14:textId="4CA9AB04" w:rsidR="00E704A1" w:rsidRDefault="00E704A1" w:rsidP="004958BC">
            <w:pPr>
              <w:rPr>
                <w:rFonts w:ascii="Arial" w:hAnsi="Arial" w:cs="Arial"/>
                <w:sz w:val="20"/>
              </w:rPr>
            </w:pPr>
            <w:r>
              <w:rPr>
                <w:rFonts w:ascii="Arial" w:hAnsi="Arial" w:cs="Arial"/>
                <w:sz w:val="20"/>
              </w:rPr>
              <w:t>Added</w:t>
            </w:r>
          </w:p>
        </w:tc>
        <w:tc>
          <w:tcPr>
            <w:tcW w:w="1502" w:type="dxa"/>
            <w:vMerge/>
          </w:tcPr>
          <w:p w14:paraId="7D482734" w14:textId="77777777" w:rsidR="00E704A1" w:rsidRDefault="00E704A1" w:rsidP="004958BC">
            <w:pPr>
              <w:rPr>
                <w:rFonts w:ascii="Arial" w:hAnsi="Arial" w:cs="Arial"/>
                <w:sz w:val="20"/>
              </w:rPr>
            </w:pPr>
          </w:p>
        </w:tc>
      </w:tr>
      <w:tr w:rsidR="00296083" w14:paraId="132AD7A0" w14:textId="77777777" w:rsidTr="008B7A80">
        <w:tc>
          <w:tcPr>
            <w:tcW w:w="1103" w:type="dxa"/>
            <w:vMerge w:val="restart"/>
          </w:tcPr>
          <w:p w14:paraId="0190DDAB" w14:textId="728C92BC" w:rsidR="00296083" w:rsidRDefault="00296083" w:rsidP="004958BC">
            <w:pPr>
              <w:jc w:val="center"/>
              <w:rPr>
                <w:rFonts w:ascii="Arial" w:hAnsi="Arial" w:cs="Arial"/>
                <w:sz w:val="20"/>
              </w:rPr>
            </w:pPr>
            <w:r>
              <w:rPr>
                <w:rFonts w:ascii="Arial" w:hAnsi="Arial" w:cs="Arial"/>
                <w:sz w:val="20"/>
              </w:rPr>
              <w:t>7</w:t>
            </w:r>
          </w:p>
        </w:tc>
        <w:tc>
          <w:tcPr>
            <w:tcW w:w="2042" w:type="dxa"/>
          </w:tcPr>
          <w:p w14:paraId="2D948838" w14:textId="30BEBA5A" w:rsidR="00296083" w:rsidRDefault="00296083" w:rsidP="004958BC">
            <w:pPr>
              <w:rPr>
                <w:rFonts w:ascii="Arial" w:hAnsi="Arial" w:cs="Arial"/>
                <w:sz w:val="20"/>
              </w:rPr>
            </w:pPr>
            <w:r w:rsidRPr="00E90E48">
              <w:rPr>
                <w:rFonts w:ascii="Arial" w:hAnsi="Arial" w:cs="Arial"/>
                <w:sz w:val="20"/>
              </w:rPr>
              <w:t xml:space="preserve">10 </w:t>
            </w:r>
            <w:hyperlink w:anchor="_Prepaid_and_Other" w:history="1">
              <w:r w:rsidRPr="00E90E48">
                <w:rPr>
                  <w:rFonts w:ascii="Arial" w:hAnsi="Arial" w:cs="Arial"/>
                  <w:sz w:val="20"/>
                </w:rPr>
                <w:t>Prepaid, Deferred Charges and Other Current Assets</w:t>
              </w:r>
            </w:hyperlink>
          </w:p>
        </w:tc>
        <w:tc>
          <w:tcPr>
            <w:tcW w:w="4590" w:type="dxa"/>
          </w:tcPr>
          <w:p w14:paraId="363A8E6F" w14:textId="152CF51E" w:rsidR="00296083" w:rsidRDefault="00296083" w:rsidP="004958BC">
            <w:pPr>
              <w:rPr>
                <w:rFonts w:ascii="Arial" w:hAnsi="Arial" w:cs="Arial"/>
                <w:sz w:val="20"/>
              </w:rPr>
            </w:pPr>
            <w:r>
              <w:rPr>
                <w:rFonts w:ascii="Arial" w:hAnsi="Arial" w:cs="Arial"/>
                <w:sz w:val="20"/>
              </w:rPr>
              <w:t>Updated threshold from $10,000 to $20,000</w:t>
            </w:r>
          </w:p>
        </w:tc>
        <w:tc>
          <w:tcPr>
            <w:tcW w:w="1502" w:type="dxa"/>
            <w:vMerge w:val="restart"/>
          </w:tcPr>
          <w:p w14:paraId="7F76FF3E" w14:textId="6FDF76D8" w:rsidR="00296083" w:rsidRDefault="00296083" w:rsidP="004958BC">
            <w:pPr>
              <w:rPr>
                <w:rFonts w:ascii="Arial" w:hAnsi="Arial" w:cs="Arial"/>
                <w:sz w:val="20"/>
              </w:rPr>
            </w:pPr>
            <w:r>
              <w:rPr>
                <w:rFonts w:ascii="Arial" w:hAnsi="Arial" w:cs="Arial"/>
                <w:sz w:val="20"/>
              </w:rPr>
              <w:t>June 2026</w:t>
            </w:r>
          </w:p>
        </w:tc>
      </w:tr>
      <w:tr w:rsidR="00296083" w14:paraId="0516AA74" w14:textId="77777777" w:rsidTr="008B7A80">
        <w:tc>
          <w:tcPr>
            <w:tcW w:w="1103" w:type="dxa"/>
            <w:vMerge/>
          </w:tcPr>
          <w:p w14:paraId="567B735E" w14:textId="77777777" w:rsidR="00296083" w:rsidRDefault="00296083" w:rsidP="004958BC">
            <w:pPr>
              <w:jc w:val="center"/>
              <w:rPr>
                <w:rFonts w:ascii="Arial" w:hAnsi="Arial" w:cs="Arial"/>
                <w:sz w:val="20"/>
              </w:rPr>
            </w:pPr>
          </w:p>
        </w:tc>
        <w:tc>
          <w:tcPr>
            <w:tcW w:w="2042" w:type="dxa"/>
          </w:tcPr>
          <w:p w14:paraId="5905CA2B" w14:textId="6D92C39B" w:rsidR="00296083" w:rsidRPr="00946D1A" w:rsidRDefault="00296083" w:rsidP="004958BC">
            <w:pPr>
              <w:rPr>
                <w:rFonts w:ascii="Arial" w:hAnsi="Arial" w:cs="Arial"/>
                <w:sz w:val="20"/>
              </w:rPr>
            </w:pPr>
            <w:r>
              <w:rPr>
                <w:rFonts w:ascii="Arial" w:hAnsi="Arial" w:cs="Arial"/>
                <w:sz w:val="20"/>
              </w:rPr>
              <w:t>14 Intangible assets, other than goodwill</w:t>
            </w:r>
          </w:p>
        </w:tc>
        <w:tc>
          <w:tcPr>
            <w:tcW w:w="4590" w:type="dxa"/>
          </w:tcPr>
          <w:p w14:paraId="4E29B879" w14:textId="6D91713D" w:rsidR="00296083" w:rsidRDefault="00296083" w:rsidP="004958BC">
            <w:pPr>
              <w:rPr>
                <w:rFonts w:ascii="Arial" w:hAnsi="Arial" w:cs="Arial"/>
                <w:sz w:val="20"/>
              </w:rPr>
            </w:pPr>
            <w:r>
              <w:rPr>
                <w:rFonts w:ascii="Arial" w:hAnsi="Arial" w:cs="Arial"/>
                <w:sz w:val="20"/>
              </w:rPr>
              <w:t>Added a policy to evaluate fully amortized intangible assets, other than goodwill, on an annual basis to determine whether the asset and associated allowance should be written off</w:t>
            </w:r>
          </w:p>
        </w:tc>
        <w:tc>
          <w:tcPr>
            <w:tcW w:w="1502" w:type="dxa"/>
            <w:vMerge/>
          </w:tcPr>
          <w:p w14:paraId="3196E688" w14:textId="77777777" w:rsidR="00296083" w:rsidRDefault="00296083" w:rsidP="004958BC">
            <w:pPr>
              <w:rPr>
                <w:rFonts w:ascii="Arial" w:hAnsi="Arial" w:cs="Arial"/>
                <w:sz w:val="20"/>
              </w:rPr>
            </w:pPr>
          </w:p>
        </w:tc>
      </w:tr>
      <w:tr w:rsidR="00296083" w14:paraId="05090676" w14:textId="77777777" w:rsidTr="008B7A80">
        <w:tc>
          <w:tcPr>
            <w:tcW w:w="1103" w:type="dxa"/>
            <w:vMerge/>
          </w:tcPr>
          <w:p w14:paraId="00C732F9" w14:textId="77777777" w:rsidR="00296083" w:rsidRDefault="00296083" w:rsidP="004958BC">
            <w:pPr>
              <w:jc w:val="center"/>
              <w:rPr>
                <w:rFonts w:ascii="Arial" w:hAnsi="Arial" w:cs="Arial"/>
                <w:sz w:val="20"/>
              </w:rPr>
            </w:pPr>
          </w:p>
        </w:tc>
        <w:tc>
          <w:tcPr>
            <w:tcW w:w="2042" w:type="dxa"/>
          </w:tcPr>
          <w:p w14:paraId="74FB344C" w14:textId="3388AE76" w:rsidR="00296083" w:rsidRDefault="00296083" w:rsidP="004958BC">
            <w:pPr>
              <w:rPr>
                <w:rFonts w:ascii="Arial" w:hAnsi="Arial" w:cs="Arial"/>
                <w:sz w:val="20"/>
              </w:rPr>
            </w:pPr>
            <w:r>
              <w:rPr>
                <w:rFonts w:ascii="Arial" w:hAnsi="Arial" w:cs="Arial"/>
                <w:sz w:val="20"/>
              </w:rPr>
              <w:t>23.2 Compensation</w:t>
            </w:r>
          </w:p>
        </w:tc>
        <w:tc>
          <w:tcPr>
            <w:tcW w:w="4590" w:type="dxa"/>
          </w:tcPr>
          <w:p w14:paraId="64125081" w14:textId="2BD875F9" w:rsidR="00296083" w:rsidRDefault="00296083" w:rsidP="004958BC">
            <w:pPr>
              <w:rPr>
                <w:rFonts w:ascii="Arial" w:hAnsi="Arial" w:cs="Arial"/>
                <w:sz w:val="20"/>
              </w:rPr>
            </w:pPr>
            <w:r>
              <w:rPr>
                <w:rFonts w:ascii="Arial" w:hAnsi="Arial" w:cs="Arial"/>
                <w:sz w:val="20"/>
              </w:rPr>
              <w:t>Added a paragraph clarifying how to account for sign on or retention bonuses that must be paid back to the Company if employment is terminated prior to a certain date specified in the agreement</w:t>
            </w:r>
          </w:p>
        </w:tc>
        <w:tc>
          <w:tcPr>
            <w:tcW w:w="1502" w:type="dxa"/>
            <w:vMerge/>
          </w:tcPr>
          <w:p w14:paraId="2DA744D9" w14:textId="77777777" w:rsidR="00296083" w:rsidRDefault="00296083" w:rsidP="004958BC">
            <w:pPr>
              <w:rPr>
                <w:rFonts w:ascii="Arial" w:hAnsi="Arial" w:cs="Arial"/>
                <w:sz w:val="20"/>
              </w:rPr>
            </w:pPr>
          </w:p>
        </w:tc>
      </w:tr>
    </w:tbl>
    <w:p w14:paraId="5E28909D" w14:textId="77777777" w:rsidR="002001CD" w:rsidRPr="00A20360" w:rsidRDefault="002001CD" w:rsidP="002001CD">
      <w:pPr>
        <w:rPr>
          <w:rFonts w:ascii="Arial" w:hAnsi="Arial" w:cs="Arial"/>
          <w:sz w:val="20"/>
          <w:szCs w:val="24"/>
        </w:rPr>
      </w:pPr>
    </w:p>
    <w:sectPr w:rsidR="002001CD" w:rsidRPr="00A20360">
      <w:pgSz w:w="11909" w:h="16834" w:code="9"/>
      <w:pgMar w:top="1021" w:right="1151" w:bottom="1247" w:left="1151" w:header="720" w:footer="720" w:gutter="0"/>
      <w:paperSrc w:first="7" w:other="7"/>
      <w:cols w:space="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DE07" w14:textId="77777777" w:rsidR="00BA0F30" w:rsidRDefault="00BA0F30">
      <w:r>
        <w:separator/>
      </w:r>
    </w:p>
    <w:p w14:paraId="39678796" w14:textId="77777777" w:rsidR="00BA0F30" w:rsidRDefault="00BA0F30"/>
  </w:endnote>
  <w:endnote w:type="continuationSeparator" w:id="0">
    <w:p w14:paraId="7049A6D0" w14:textId="77777777" w:rsidR="00BA0F30" w:rsidRDefault="00BA0F30">
      <w:r>
        <w:continuationSeparator/>
      </w:r>
    </w:p>
    <w:p w14:paraId="54917C89" w14:textId="77777777" w:rsidR="00BA0F30" w:rsidRDefault="00BA0F30"/>
  </w:endnote>
  <w:endnote w:type="continuationNotice" w:id="1">
    <w:p w14:paraId="405C29B8" w14:textId="77777777" w:rsidR="00BA0F30" w:rsidRDefault="00BA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mith&amp;Nephew-Bold">
    <w:altName w:val="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YInterstate">
    <w:altName w:val="EY Interstat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 w:name="Smith&amp;NephewLF">
    <w:altName w:val="Calibri"/>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useoSans-500">
    <w:altName w:val="Times New Roman"/>
    <w:panose1 w:val="00000000000000000000"/>
    <w:charset w:val="00"/>
    <w:family w:val="roman"/>
    <w:notTrueType/>
    <w:pitch w:val="default"/>
  </w:font>
  <w:font w:name="MuseoSans-300">
    <w:altName w:val="Times New Roman"/>
    <w:panose1 w:val="00000000000000000000"/>
    <w:charset w:val="00"/>
    <w:family w:val="roman"/>
    <w:notTrueType/>
    <w:pitch w:val="default"/>
  </w:font>
  <w:font w:name="Mul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6F14" w14:textId="18446B12" w:rsidR="00241A2B" w:rsidRDefault="00241A2B">
    <w:pPr>
      <w:pStyle w:val="Footer"/>
      <w:jc w:val="center"/>
    </w:pPr>
    <w:r>
      <w:t xml:space="preserve">   </w:t>
    </w:r>
    <w:r>
      <w:fldChar w:fldCharType="begin"/>
    </w:r>
    <w:r>
      <w:instrText xml:space="preserve"> PAGE   \* MERGEFORMAT </w:instrText>
    </w:r>
    <w:r>
      <w:fldChar w:fldCharType="separate"/>
    </w:r>
    <w:r w:rsidR="00811084">
      <w:rPr>
        <w:noProof/>
      </w:rPr>
      <w:t>22</w:t>
    </w:r>
    <w:r>
      <w:rPr>
        <w:noProof/>
      </w:rPr>
      <w:fldChar w:fldCharType="end"/>
    </w:r>
  </w:p>
  <w:p w14:paraId="590E438E" w14:textId="627012FC" w:rsidR="00241A2B" w:rsidRDefault="00241A2B">
    <w:pPr>
      <w:pStyle w:val="Footer"/>
      <w:tabs>
        <w:tab w:val="clear" w:pos="4153"/>
        <w:tab w:val="clear" w:pos="8306"/>
        <w:tab w:val="center" w:pos="4803"/>
        <w:tab w:val="right" w:pos="9607"/>
      </w:tabs>
    </w:pPr>
    <w:r>
      <w:t xml:space="preserve">Version: </w:t>
    </w:r>
    <w:r w:rsidR="00004575">
      <w:t>4</w:t>
    </w:r>
    <w:r>
      <w:t>.0</w:t>
    </w:r>
    <w:r>
      <w:tab/>
    </w:r>
    <w:r>
      <w:tab/>
      <w:t>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94D9" w14:textId="508D834A" w:rsidR="00241A2B" w:rsidRDefault="00241A2B">
    <w:pPr>
      <w:pStyle w:val="Footer"/>
      <w:jc w:val="center"/>
    </w:pPr>
    <w:r>
      <w:fldChar w:fldCharType="begin"/>
    </w:r>
    <w:r>
      <w:instrText xml:space="preserve"> PAGE   \* MERGEFORMAT </w:instrText>
    </w:r>
    <w:r>
      <w:fldChar w:fldCharType="separate"/>
    </w:r>
    <w:r w:rsidR="00811084">
      <w:rPr>
        <w:noProof/>
      </w:rPr>
      <w:t>5</w:t>
    </w:r>
    <w:r>
      <w:rPr>
        <w:noProof/>
      </w:rPr>
      <w:fldChar w:fldCharType="end"/>
    </w:r>
  </w:p>
  <w:p w14:paraId="4C783F98" w14:textId="77777777" w:rsidR="00241A2B" w:rsidRDefault="0024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A07C" w14:textId="77777777" w:rsidR="00BA0F30" w:rsidRDefault="00BA0F30">
      <w:r>
        <w:separator/>
      </w:r>
    </w:p>
    <w:p w14:paraId="02359D34" w14:textId="77777777" w:rsidR="00BA0F30" w:rsidRDefault="00BA0F30"/>
  </w:footnote>
  <w:footnote w:type="continuationSeparator" w:id="0">
    <w:p w14:paraId="6D455539" w14:textId="77777777" w:rsidR="00BA0F30" w:rsidRDefault="00BA0F30">
      <w:r>
        <w:continuationSeparator/>
      </w:r>
    </w:p>
    <w:p w14:paraId="17E34BC5" w14:textId="77777777" w:rsidR="00BA0F30" w:rsidRDefault="00BA0F30"/>
  </w:footnote>
  <w:footnote w:type="continuationNotice" w:id="1">
    <w:p w14:paraId="41EC9876" w14:textId="77777777" w:rsidR="00BA0F30" w:rsidRDefault="00BA0F30"/>
  </w:footnote>
  <w:footnote w:id="2">
    <w:p w14:paraId="33D909A1" w14:textId="339E2BEB" w:rsidR="00A2723E" w:rsidRPr="009D7A9F" w:rsidRDefault="00A2723E">
      <w:pPr>
        <w:pStyle w:val="FootnoteText"/>
        <w:rPr>
          <w:rFonts w:ascii="Arial" w:hAnsi="Arial" w:cs="Arial"/>
          <w:sz w:val="16"/>
          <w:szCs w:val="16"/>
        </w:rPr>
      </w:pPr>
      <w:r>
        <w:rPr>
          <w:rStyle w:val="FootnoteReference"/>
        </w:rPr>
        <w:footnoteRef/>
      </w:r>
      <w:r>
        <w:t xml:space="preserve"> </w:t>
      </w:r>
      <w:r w:rsidRPr="009D7A9F">
        <w:rPr>
          <w:rFonts w:ascii="Arial" w:hAnsi="Arial" w:cs="Arial"/>
          <w:sz w:val="16"/>
          <w:szCs w:val="16"/>
        </w:rPr>
        <w:t>Maximum number of shares which can be purchased each 6-month offering period is 4,000 (max</w:t>
      </w:r>
      <w:r>
        <w:rPr>
          <w:rFonts w:ascii="Arial" w:hAnsi="Arial" w:cs="Arial"/>
          <w:sz w:val="16"/>
          <w:szCs w:val="16"/>
        </w:rPr>
        <w:t>imum</w:t>
      </w:r>
      <w:r w:rsidRPr="009D7A9F">
        <w:rPr>
          <w:rFonts w:ascii="Arial" w:hAnsi="Arial" w:cs="Arial"/>
          <w:sz w:val="16"/>
          <w:szCs w:val="16"/>
        </w:rPr>
        <w:t xml:space="preserve"> 8,000 per year)</w:t>
      </w:r>
      <w:r>
        <w:rPr>
          <w:rFonts w:ascii="Arial" w:hAnsi="Arial" w:cs="Arial"/>
          <w:sz w:val="16"/>
          <w:szCs w:val="16"/>
        </w:rPr>
        <w:t>.</w:t>
      </w:r>
      <w:r w:rsidRPr="009D7A9F">
        <w:rPr>
          <w:rFonts w:ascii="Arial" w:hAnsi="Arial" w:cs="Arial"/>
          <w:sz w:val="16"/>
          <w:szCs w:val="16"/>
        </w:rPr>
        <w:t xml:space="preserve"> </w:t>
      </w:r>
    </w:p>
  </w:footnote>
  <w:footnote w:id="3">
    <w:p w14:paraId="656845AE" w14:textId="55C33ABD" w:rsidR="005122FB" w:rsidRPr="009D7A9F" w:rsidRDefault="005122FB">
      <w:pPr>
        <w:pStyle w:val="FootnoteText"/>
        <w:rPr>
          <w:rFonts w:ascii="Arial" w:hAnsi="Arial" w:cs="Arial"/>
          <w:sz w:val="16"/>
          <w:szCs w:val="16"/>
        </w:rPr>
      </w:pPr>
      <w:r w:rsidRPr="009D7A9F">
        <w:rPr>
          <w:rStyle w:val="FootnoteReference"/>
          <w:rFonts w:ascii="Arial" w:hAnsi="Arial" w:cs="Arial"/>
          <w:sz w:val="16"/>
          <w:szCs w:val="16"/>
        </w:rPr>
        <w:footnoteRef/>
      </w:r>
      <w:r w:rsidRPr="009D7A9F">
        <w:rPr>
          <w:rFonts w:ascii="Arial" w:hAnsi="Arial" w:cs="Arial"/>
          <w:sz w:val="16"/>
          <w:szCs w:val="16"/>
        </w:rPr>
        <w:t xml:space="preserve"> The ESPP offering period was changed from a 3-month to a 6-month offering period beginning December 1, 2023. </w:t>
      </w:r>
      <w:r w:rsidR="00A2723E" w:rsidRPr="009D7A9F">
        <w:rPr>
          <w:rFonts w:ascii="Arial" w:hAnsi="Arial" w:cs="Arial"/>
          <w:sz w:val="16"/>
          <w:szCs w:val="16"/>
        </w:rPr>
        <w:t>The structure of the ESPP is otherwise unchanged.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D1A"/>
    <w:multiLevelType w:val="hybridMultilevel"/>
    <w:tmpl w:val="5AE6B4DE"/>
    <w:lvl w:ilvl="0" w:tplc="04090001">
      <w:start w:val="1"/>
      <w:numFmt w:val="bullet"/>
      <w:lvlText w:val=""/>
      <w:lvlJc w:val="left"/>
      <w:pPr>
        <w:ind w:left="1080" w:hanging="360"/>
      </w:pPr>
      <w:rPr>
        <w:rFonts w:ascii="Symbol" w:hAnsi="Symbol" w:hint="default"/>
      </w:rPr>
    </w:lvl>
    <w:lvl w:ilvl="1" w:tplc="57EA21E2">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A264C"/>
    <w:multiLevelType w:val="hybridMultilevel"/>
    <w:tmpl w:val="66A099CA"/>
    <w:lvl w:ilvl="0" w:tplc="196802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F1BC5"/>
    <w:multiLevelType w:val="hybridMultilevel"/>
    <w:tmpl w:val="17A0B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22656"/>
    <w:multiLevelType w:val="hybridMultilevel"/>
    <w:tmpl w:val="FB408C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240F89"/>
    <w:multiLevelType w:val="hybridMultilevel"/>
    <w:tmpl w:val="7B6A1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A45C0F"/>
    <w:multiLevelType w:val="hybridMultilevel"/>
    <w:tmpl w:val="A91E98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A95F3F"/>
    <w:multiLevelType w:val="hybridMultilevel"/>
    <w:tmpl w:val="168C7212"/>
    <w:lvl w:ilvl="0" w:tplc="A0009036">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DE3340"/>
    <w:multiLevelType w:val="hybridMultilevel"/>
    <w:tmpl w:val="D75EAB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3E2273"/>
    <w:multiLevelType w:val="multilevel"/>
    <w:tmpl w:val="1F0EA4CC"/>
    <w:lvl w:ilvl="0">
      <w:start w:val="1"/>
      <w:numFmt w:val="bullet"/>
      <w:lvlText w:val=""/>
      <w:lvlJc w:val="left"/>
      <w:pPr>
        <w:tabs>
          <w:tab w:val="num" w:pos="660"/>
        </w:tabs>
        <w:ind w:left="660" w:hanging="660"/>
      </w:pPr>
      <w:rPr>
        <w:rFonts w:ascii="Symbol" w:hAnsi="Symbol" w:hint="default"/>
      </w:rPr>
    </w:lvl>
    <w:lvl w:ilvl="1">
      <w:start w:val="1"/>
      <w:numFmt w:val="decimal"/>
      <w:lvlText w:val="%2"/>
      <w:lvlJc w:val="left"/>
      <w:pPr>
        <w:tabs>
          <w:tab w:val="num" w:pos="930"/>
        </w:tabs>
        <w:ind w:left="930" w:hanging="660"/>
      </w:pPr>
      <w:rPr>
        <w:rFonts w:ascii="Century Gothic" w:eastAsia="Times New Roman" w:hAnsi="Century Gothic" w:cs="Times New Roman" w:hint="default"/>
      </w:rPr>
    </w:lvl>
    <w:lvl w:ilvl="2">
      <w:start w:val="1"/>
      <w:numFmt w:val="decimal"/>
      <w:lvlText w:val="2.%2.%3"/>
      <w:lvlJc w:val="left"/>
      <w:pPr>
        <w:tabs>
          <w:tab w:val="num" w:pos="720"/>
        </w:tabs>
        <w:ind w:left="720" w:hanging="720"/>
      </w:pPr>
      <w:rPr>
        <w:rFonts w:hint="default"/>
        <w:b w:val="0"/>
        <w:sz w:val="20"/>
        <w:szCs w:val="20"/>
      </w:rPr>
    </w:lvl>
    <w:lvl w:ilvl="3">
      <w:start w:val="1"/>
      <w:numFmt w:val="decimal"/>
      <w:lvlText w:val="%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FF6528"/>
    <w:multiLevelType w:val="hybridMultilevel"/>
    <w:tmpl w:val="0C5C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0677F"/>
    <w:multiLevelType w:val="multilevel"/>
    <w:tmpl w:val="82929934"/>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0EE5235C"/>
    <w:multiLevelType w:val="hybridMultilevel"/>
    <w:tmpl w:val="8864C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831CC7"/>
    <w:multiLevelType w:val="hybridMultilevel"/>
    <w:tmpl w:val="6A9C7A0E"/>
    <w:lvl w:ilvl="0" w:tplc="6F383A8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117525"/>
    <w:multiLevelType w:val="hybridMultilevel"/>
    <w:tmpl w:val="9E4EABA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CA2DEF"/>
    <w:multiLevelType w:val="hybridMultilevel"/>
    <w:tmpl w:val="C2FA93D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9B0943"/>
    <w:multiLevelType w:val="hybridMultilevel"/>
    <w:tmpl w:val="18B41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F3264C"/>
    <w:multiLevelType w:val="hybridMultilevel"/>
    <w:tmpl w:val="AFD88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1D7BD6"/>
    <w:multiLevelType w:val="hybridMultilevel"/>
    <w:tmpl w:val="14EC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33E65FE"/>
    <w:multiLevelType w:val="hybridMultilevel"/>
    <w:tmpl w:val="062C1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77A6AE1"/>
    <w:multiLevelType w:val="hybridMultilevel"/>
    <w:tmpl w:val="0F2E94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F75EFE"/>
    <w:multiLevelType w:val="hybridMultilevel"/>
    <w:tmpl w:val="0DCEE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95F051E"/>
    <w:multiLevelType w:val="multilevel"/>
    <w:tmpl w:val="E63069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97C7114"/>
    <w:multiLevelType w:val="hybridMultilevel"/>
    <w:tmpl w:val="58205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266B47"/>
    <w:multiLevelType w:val="hybridMultilevel"/>
    <w:tmpl w:val="C06E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3D549D"/>
    <w:multiLevelType w:val="hybridMultilevel"/>
    <w:tmpl w:val="3452B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B025BE2"/>
    <w:multiLevelType w:val="hybridMultilevel"/>
    <w:tmpl w:val="6FC8E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C837808"/>
    <w:multiLevelType w:val="hybridMultilevel"/>
    <w:tmpl w:val="DBB66F1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1FCF767F"/>
    <w:multiLevelType w:val="hybridMultilevel"/>
    <w:tmpl w:val="270E9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FEA027F"/>
    <w:multiLevelType w:val="hybridMultilevel"/>
    <w:tmpl w:val="548CD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9915114"/>
    <w:multiLevelType w:val="hybridMultilevel"/>
    <w:tmpl w:val="7EE0DF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29C81D83"/>
    <w:multiLevelType w:val="hybridMultilevel"/>
    <w:tmpl w:val="DDC8E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BC315C"/>
    <w:multiLevelType w:val="hybridMultilevel"/>
    <w:tmpl w:val="A8F2B5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6F08FF"/>
    <w:multiLevelType w:val="hybridMultilevel"/>
    <w:tmpl w:val="9AD8D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C8C2010"/>
    <w:multiLevelType w:val="hybridMultilevel"/>
    <w:tmpl w:val="61D253B4"/>
    <w:lvl w:ilvl="0" w:tplc="442A6126">
      <w:start w:val="1"/>
      <w:numFmt w:val="bullet"/>
      <w:pStyle w:val="wajikChar1"/>
      <w:lvlText w:val=""/>
      <w:lvlJc w:val="left"/>
      <w:pPr>
        <w:tabs>
          <w:tab w:val="num" w:pos="57"/>
        </w:tabs>
        <w:ind w:left="340" w:hanging="34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360"/>
      </w:pPr>
      <w:rPr>
        <w:rFonts w:hint="default"/>
      </w:rPr>
    </w:lvl>
    <w:lvl w:ilvl="3" w:tplc="98E033B4">
      <w:start w:val="2"/>
      <w:numFmt w:val="lowerLetter"/>
      <w:lvlText w:val="%4."/>
      <w:lvlJc w:val="left"/>
      <w:pPr>
        <w:tabs>
          <w:tab w:val="num" w:pos="2880"/>
        </w:tabs>
        <w:ind w:left="2880" w:hanging="360"/>
      </w:pPr>
      <w:rPr>
        <w:rFonts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FA2AD5"/>
    <w:multiLevelType w:val="hybridMultilevel"/>
    <w:tmpl w:val="CC60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044120"/>
    <w:multiLevelType w:val="hybridMultilevel"/>
    <w:tmpl w:val="6FA81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D7F137C"/>
    <w:multiLevelType w:val="hybridMultilevel"/>
    <w:tmpl w:val="E4AAF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DDE5473"/>
    <w:multiLevelType w:val="hybridMultilevel"/>
    <w:tmpl w:val="EFBCB89E"/>
    <w:lvl w:ilvl="0" w:tplc="6F383A88">
      <w:start w:val="1"/>
      <w:numFmt w:val="bullet"/>
      <w:lvlText w:val="­"/>
      <w:lvlJc w:val="left"/>
      <w:pPr>
        <w:ind w:left="1440" w:hanging="360"/>
      </w:pPr>
      <w:rPr>
        <w:rFonts w:ascii="Courier New" w:hAnsi="Courier New" w:hint="default"/>
      </w:rPr>
    </w:lvl>
    <w:lvl w:ilvl="1" w:tplc="6F383A88">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E5D658F"/>
    <w:multiLevelType w:val="hybridMultilevel"/>
    <w:tmpl w:val="F51CE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E635666"/>
    <w:multiLevelType w:val="hybridMultilevel"/>
    <w:tmpl w:val="AE64AD8E"/>
    <w:lvl w:ilvl="0" w:tplc="6F383A88">
      <w:start w:val="1"/>
      <w:numFmt w:val="bullet"/>
      <w:lvlText w:val="­"/>
      <w:lvlJc w:val="left"/>
      <w:pPr>
        <w:ind w:left="1350" w:hanging="360"/>
      </w:pPr>
      <w:rPr>
        <w:rFonts w:ascii="Courier New" w:hAnsi="Courier New" w:hint="default"/>
      </w:rPr>
    </w:lvl>
    <w:lvl w:ilvl="1" w:tplc="6F383A88">
      <w:start w:val="1"/>
      <w:numFmt w:val="bullet"/>
      <w:lvlText w:val="­"/>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2EA53C1B"/>
    <w:multiLevelType w:val="hybridMultilevel"/>
    <w:tmpl w:val="424A9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7A2A9A"/>
    <w:multiLevelType w:val="hybridMultilevel"/>
    <w:tmpl w:val="0E70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40A161B"/>
    <w:multiLevelType w:val="hybridMultilevel"/>
    <w:tmpl w:val="9FF288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15:restartNumberingAfterBreak="0">
    <w:nsid w:val="35897545"/>
    <w:multiLevelType w:val="hybridMultilevel"/>
    <w:tmpl w:val="A6489F74"/>
    <w:lvl w:ilvl="0" w:tplc="04090001">
      <w:start w:val="1"/>
      <w:numFmt w:val="bullet"/>
      <w:lvlText w:val=""/>
      <w:lvlJc w:val="left"/>
      <w:pPr>
        <w:ind w:left="1080" w:hanging="360"/>
      </w:pPr>
      <w:rPr>
        <w:rFonts w:ascii="Symbol" w:hAnsi="Symbol" w:hint="default"/>
      </w:rPr>
    </w:lvl>
    <w:lvl w:ilvl="1" w:tplc="A0009036">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5B1125B"/>
    <w:multiLevelType w:val="hybridMultilevel"/>
    <w:tmpl w:val="C11E4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6AE7F64"/>
    <w:multiLevelType w:val="hybridMultilevel"/>
    <w:tmpl w:val="08E6A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0A94DE4"/>
    <w:multiLevelType w:val="hybridMultilevel"/>
    <w:tmpl w:val="D39451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8F3E8C"/>
    <w:multiLevelType w:val="hybridMultilevel"/>
    <w:tmpl w:val="D9E4A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2B302CC"/>
    <w:multiLevelType w:val="hybridMultilevel"/>
    <w:tmpl w:val="F9862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8BC0E17"/>
    <w:multiLevelType w:val="hybridMultilevel"/>
    <w:tmpl w:val="3A566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A945C8A"/>
    <w:multiLevelType w:val="hybridMultilevel"/>
    <w:tmpl w:val="CE542C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B362B5D"/>
    <w:multiLevelType w:val="hybridMultilevel"/>
    <w:tmpl w:val="03E4948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4B8916D3"/>
    <w:multiLevelType w:val="hybridMultilevel"/>
    <w:tmpl w:val="9D508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C203DDB"/>
    <w:multiLevelType w:val="hybridMultilevel"/>
    <w:tmpl w:val="8EDC2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025544B"/>
    <w:multiLevelType w:val="hybridMultilevel"/>
    <w:tmpl w:val="C206D9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27D55E0"/>
    <w:multiLevelType w:val="hybridMultilevel"/>
    <w:tmpl w:val="664AA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2FC5F45"/>
    <w:multiLevelType w:val="hybridMultilevel"/>
    <w:tmpl w:val="8528C11A"/>
    <w:lvl w:ilvl="0" w:tplc="04090001">
      <w:start w:val="1"/>
      <w:numFmt w:val="bullet"/>
      <w:lvlText w:val=""/>
      <w:lvlJc w:val="left"/>
      <w:pPr>
        <w:ind w:left="1080" w:hanging="360"/>
      </w:pPr>
      <w:rPr>
        <w:rFonts w:ascii="Symbol" w:hAnsi="Symbol" w:hint="default"/>
      </w:rPr>
    </w:lvl>
    <w:lvl w:ilvl="1" w:tplc="6F383A88">
      <w:start w:val="1"/>
      <w:numFmt w:val="bullet"/>
      <w:lvlText w:val="­"/>
      <w:lvlJc w:val="left"/>
      <w:pPr>
        <w:ind w:left="1800" w:hanging="360"/>
      </w:pPr>
      <w:rPr>
        <w:rFonts w:ascii="Courier New" w:hAnsi="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60C4C11"/>
    <w:multiLevelType w:val="hybridMultilevel"/>
    <w:tmpl w:val="C100C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65C5DA1"/>
    <w:multiLevelType w:val="hybridMultilevel"/>
    <w:tmpl w:val="6D361D10"/>
    <w:lvl w:ilvl="0" w:tplc="04090001">
      <w:start w:val="1"/>
      <w:numFmt w:val="bullet"/>
      <w:lvlText w:val=""/>
      <w:lvlJc w:val="left"/>
      <w:pPr>
        <w:ind w:left="1080" w:hanging="360"/>
      </w:pPr>
      <w:rPr>
        <w:rFonts w:ascii="Symbol" w:hAnsi="Symbol" w:hint="default"/>
      </w:rPr>
    </w:lvl>
    <w:lvl w:ilvl="1" w:tplc="DFC4FDA8">
      <w:start w:val="2"/>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65D7607"/>
    <w:multiLevelType w:val="hybridMultilevel"/>
    <w:tmpl w:val="75AEF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9607615"/>
    <w:multiLevelType w:val="hybridMultilevel"/>
    <w:tmpl w:val="CE80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2B27DF"/>
    <w:multiLevelType w:val="hybridMultilevel"/>
    <w:tmpl w:val="85707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FD41BF3"/>
    <w:multiLevelType w:val="hybridMultilevel"/>
    <w:tmpl w:val="E5D48F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3481876"/>
    <w:multiLevelType w:val="hybridMultilevel"/>
    <w:tmpl w:val="5E62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9B7D85"/>
    <w:multiLevelType w:val="hybridMultilevel"/>
    <w:tmpl w:val="1E28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4402EBD"/>
    <w:multiLevelType w:val="hybridMultilevel"/>
    <w:tmpl w:val="AE48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4F25171"/>
    <w:multiLevelType w:val="hybridMultilevel"/>
    <w:tmpl w:val="3F449F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72F4FA">
      <w:start w:val="1"/>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7561FD6"/>
    <w:multiLevelType w:val="hybridMultilevel"/>
    <w:tmpl w:val="F384BF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8" w15:restartNumberingAfterBreak="0">
    <w:nsid w:val="680F4D40"/>
    <w:multiLevelType w:val="hybridMultilevel"/>
    <w:tmpl w:val="A158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917637C"/>
    <w:multiLevelType w:val="hybridMultilevel"/>
    <w:tmpl w:val="BBF67DA6"/>
    <w:lvl w:ilvl="0" w:tplc="04090001">
      <w:start w:val="1"/>
      <w:numFmt w:val="bullet"/>
      <w:lvlText w:val=""/>
      <w:lvlJc w:val="left"/>
      <w:pPr>
        <w:ind w:left="720" w:hanging="360"/>
      </w:pPr>
      <w:rPr>
        <w:rFonts w:ascii="Symbol" w:hAnsi="Symbol" w:hint="default"/>
      </w:rPr>
    </w:lvl>
    <w:lvl w:ilvl="1" w:tplc="6F383A8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216BF5"/>
    <w:multiLevelType w:val="hybridMultilevel"/>
    <w:tmpl w:val="C5D07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DF51E3B"/>
    <w:multiLevelType w:val="hybridMultilevel"/>
    <w:tmpl w:val="DAEC14DA"/>
    <w:lvl w:ilvl="0" w:tplc="6F383A88">
      <w:start w:val="1"/>
      <w:numFmt w:val="bullet"/>
      <w:lvlText w:val="­"/>
      <w:lvlJc w:val="left"/>
      <w:pPr>
        <w:ind w:left="1350" w:hanging="360"/>
      </w:pPr>
      <w:rPr>
        <w:rFonts w:ascii="Courier New" w:hAnsi="Courier New" w:hint="default"/>
      </w:rPr>
    </w:lvl>
    <w:lvl w:ilvl="1" w:tplc="6F383A88">
      <w:start w:val="1"/>
      <w:numFmt w:val="bullet"/>
      <w:lvlText w:val="­"/>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2" w15:restartNumberingAfterBreak="0">
    <w:nsid w:val="70A702A5"/>
    <w:multiLevelType w:val="hybridMultilevel"/>
    <w:tmpl w:val="33D60AB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73" w15:restartNumberingAfterBreak="0">
    <w:nsid w:val="71866FD0"/>
    <w:multiLevelType w:val="hybridMultilevel"/>
    <w:tmpl w:val="AC141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24B67D5"/>
    <w:multiLevelType w:val="hybridMultilevel"/>
    <w:tmpl w:val="2A101B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5" w15:restartNumberingAfterBreak="0">
    <w:nsid w:val="727414C4"/>
    <w:multiLevelType w:val="hybridMultilevel"/>
    <w:tmpl w:val="9B80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2BE32BA"/>
    <w:multiLevelType w:val="hybridMultilevel"/>
    <w:tmpl w:val="35869D4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15:restartNumberingAfterBreak="0">
    <w:nsid w:val="72DA7037"/>
    <w:multiLevelType w:val="hybridMultilevel"/>
    <w:tmpl w:val="7D188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6196152"/>
    <w:multiLevelType w:val="hybridMultilevel"/>
    <w:tmpl w:val="35F080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6D10FE5"/>
    <w:multiLevelType w:val="multilevel"/>
    <w:tmpl w:val="CAB61F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7E26E18"/>
    <w:multiLevelType w:val="hybridMultilevel"/>
    <w:tmpl w:val="C4AA2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9853F97"/>
    <w:multiLevelType w:val="hybridMultilevel"/>
    <w:tmpl w:val="84BEC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B8D16D7"/>
    <w:multiLevelType w:val="hybridMultilevel"/>
    <w:tmpl w:val="11C4E180"/>
    <w:lvl w:ilvl="0" w:tplc="04090001">
      <w:start w:val="1"/>
      <w:numFmt w:val="bullet"/>
      <w:lvlText w:val=""/>
      <w:lvlJc w:val="left"/>
      <w:pPr>
        <w:ind w:left="720" w:hanging="360"/>
      </w:pPr>
      <w:rPr>
        <w:rFonts w:ascii="Symbol" w:hAnsi="Symbol" w:hint="default"/>
      </w:rPr>
    </w:lvl>
    <w:lvl w:ilvl="1" w:tplc="71BA5D56">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1D306D"/>
    <w:multiLevelType w:val="hybridMultilevel"/>
    <w:tmpl w:val="F4366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322A32"/>
    <w:multiLevelType w:val="hybridMultilevel"/>
    <w:tmpl w:val="D9BA6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ED921C7"/>
    <w:multiLevelType w:val="hybridMultilevel"/>
    <w:tmpl w:val="2FB0F624"/>
    <w:lvl w:ilvl="0" w:tplc="04090001">
      <w:start w:val="1"/>
      <w:numFmt w:val="bullet"/>
      <w:lvlText w:val=""/>
      <w:lvlJc w:val="left"/>
      <w:pPr>
        <w:ind w:left="1080" w:hanging="360"/>
      </w:pPr>
      <w:rPr>
        <w:rFonts w:ascii="Symbol" w:hAnsi="Symbol" w:hint="default"/>
      </w:rPr>
    </w:lvl>
    <w:lvl w:ilvl="1" w:tplc="71BA5D56">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1711164">
    <w:abstractNumId w:val="33"/>
  </w:num>
  <w:num w:numId="2" w16cid:durableId="327906148">
    <w:abstractNumId w:val="8"/>
  </w:num>
  <w:num w:numId="3" w16cid:durableId="471291312">
    <w:abstractNumId w:val="54"/>
  </w:num>
  <w:num w:numId="4" w16cid:durableId="1874726158">
    <w:abstractNumId w:val="69"/>
  </w:num>
  <w:num w:numId="5" w16cid:durableId="1421755041">
    <w:abstractNumId w:val="76"/>
  </w:num>
  <w:num w:numId="6" w16cid:durableId="1146050398">
    <w:abstractNumId w:val="83"/>
  </w:num>
  <w:num w:numId="7" w16cid:durableId="531068445">
    <w:abstractNumId w:val="9"/>
  </w:num>
  <w:num w:numId="8" w16cid:durableId="1083915325">
    <w:abstractNumId w:val="48"/>
  </w:num>
  <w:num w:numId="9" w16cid:durableId="619339934">
    <w:abstractNumId w:val="81"/>
  </w:num>
  <w:num w:numId="10" w16cid:durableId="1773820195">
    <w:abstractNumId w:val="18"/>
  </w:num>
  <w:num w:numId="11" w16cid:durableId="17245605">
    <w:abstractNumId w:val="57"/>
  </w:num>
  <w:num w:numId="12" w16cid:durableId="471749557">
    <w:abstractNumId w:val="67"/>
  </w:num>
  <w:num w:numId="13" w16cid:durableId="1131944399">
    <w:abstractNumId w:val="42"/>
  </w:num>
  <w:num w:numId="14" w16cid:durableId="955715780">
    <w:abstractNumId w:val="74"/>
  </w:num>
  <w:num w:numId="15" w16cid:durableId="1082605492">
    <w:abstractNumId w:val="29"/>
  </w:num>
  <w:num w:numId="16" w16cid:durableId="562376125">
    <w:abstractNumId w:val="26"/>
  </w:num>
  <w:num w:numId="17" w16cid:durableId="119153017">
    <w:abstractNumId w:val="56"/>
  </w:num>
  <w:num w:numId="18" w16cid:durableId="2140028250">
    <w:abstractNumId w:val="7"/>
  </w:num>
  <w:num w:numId="19" w16cid:durableId="1927809088">
    <w:abstractNumId w:val="47"/>
  </w:num>
  <w:num w:numId="20" w16cid:durableId="659504830">
    <w:abstractNumId w:val="13"/>
  </w:num>
  <w:num w:numId="21" w16cid:durableId="1764574268">
    <w:abstractNumId w:val="3"/>
  </w:num>
  <w:num w:numId="22" w16cid:durableId="1307854172">
    <w:abstractNumId w:val="32"/>
  </w:num>
  <w:num w:numId="23" w16cid:durableId="1825580296">
    <w:abstractNumId w:val="84"/>
  </w:num>
  <w:num w:numId="24" w16cid:durableId="913468990">
    <w:abstractNumId w:val="20"/>
  </w:num>
  <w:num w:numId="25" w16cid:durableId="1840267101">
    <w:abstractNumId w:val="31"/>
  </w:num>
  <w:num w:numId="26" w16cid:durableId="826477689">
    <w:abstractNumId w:val="46"/>
  </w:num>
  <w:num w:numId="27" w16cid:durableId="1471244008">
    <w:abstractNumId w:val="52"/>
  </w:num>
  <w:num w:numId="28" w16cid:durableId="1516533728">
    <w:abstractNumId w:val="37"/>
  </w:num>
  <w:num w:numId="29" w16cid:durableId="1305966758">
    <w:abstractNumId w:val="39"/>
  </w:num>
  <w:num w:numId="30" w16cid:durableId="394016874">
    <w:abstractNumId w:val="12"/>
  </w:num>
  <w:num w:numId="31" w16cid:durableId="2095859324">
    <w:abstractNumId w:val="71"/>
  </w:num>
  <w:num w:numId="32" w16cid:durableId="481697299">
    <w:abstractNumId w:val="35"/>
  </w:num>
  <w:num w:numId="33" w16cid:durableId="869609043">
    <w:abstractNumId w:val="28"/>
  </w:num>
  <w:num w:numId="34" w16cid:durableId="332268758">
    <w:abstractNumId w:val="6"/>
  </w:num>
  <w:num w:numId="35" w16cid:durableId="457184483">
    <w:abstractNumId w:val="66"/>
  </w:num>
  <w:num w:numId="36" w16cid:durableId="323364733">
    <w:abstractNumId w:val="49"/>
  </w:num>
  <w:num w:numId="37" w16cid:durableId="1623808327">
    <w:abstractNumId w:val="59"/>
  </w:num>
  <w:num w:numId="38" w16cid:durableId="349835467">
    <w:abstractNumId w:val="72"/>
  </w:num>
  <w:num w:numId="39" w16cid:durableId="714503540">
    <w:abstractNumId w:val="85"/>
  </w:num>
  <w:num w:numId="40" w16cid:durableId="114714495">
    <w:abstractNumId w:val="0"/>
  </w:num>
  <w:num w:numId="41" w16cid:durableId="35130629">
    <w:abstractNumId w:val="38"/>
  </w:num>
  <w:num w:numId="42" w16cid:durableId="1952665685">
    <w:abstractNumId w:val="25"/>
  </w:num>
  <w:num w:numId="43" w16cid:durableId="1769152965">
    <w:abstractNumId w:val="36"/>
  </w:num>
  <w:num w:numId="44" w16cid:durableId="1385324640">
    <w:abstractNumId w:val="40"/>
  </w:num>
  <w:num w:numId="45" w16cid:durableId="2097244129">
    <w:abstractNumId w:val="78"/>
  </w:num>
  <w:num w:numId="46" w16cid:durableId="953366621">
    <w:abstractNumId w:val="11"/>
  </w:num>
  <w:num w:numId="47" w16cid:durableId="585460383">
    <w:abstractNumId w:val="58"/>
  </w:num>
  <w:num w:numId="48" w16cid:durableId="1520314294">
    <w:abstractNumId w:val="41"/>
  </w:num>
  <w:num w:numId="49" w16cid:durableId="1956323255">
    <w:abstractNumId w:val="21"/>
  </w:num>
  <w:num w:numId="50" w16cid:durableId="227346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8389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724738">
    <w:abstractNumId w:val="14"/>
  </w:num>
  <w:num w:numId="53" w16cid:durableId="366835640">
    <w:abstractNumId w:val="50"/>
  </w:num>
  <w:num w:numId="54" w16cid:durableId="1871793332">
    <w:abstractNumId w:val="62"/>
  </w:num>
  <w:num w:numId="55" w16cid:durableId="1619751977">
    <w:abstractNumId w:val="2"/>
  </w:num>
  <w:num w:numId="56" w16cid:durableId="315768384">
    <w:abstractNumId w:val="39"/>
  </w:num>
  <w:num w:numId="57" w16cid:durableId="592395019">
    <w:abstractNumId w:val="61"/>
  </w:num>
  <w:num w:numId="58" w16cid:durableId="806316119">
    <w:abstractNumId w:val="19"/>
  </w:num>
  <w:num w:numId="59" w16cid:durableId="1360207666">
    <w:abstractNumId w:val="4"/>
  </w:num>
  <w:num w:numId="60" w16cid:durableId="51394466">
    <w:abstractNumId w:val="82"/>
  </w:num>
  <w:num w:numId="61" w16cid:durableId="2138987936">
    <w:abstractNumId w:val="34"/>
  </w:num>
  <w:num w:numId="62" w16cid:durableId="790632185">
    <w:abstractNumId w:val="60"/>
  </w:num>
  <w:num w:numId="63" w16cid:durableId="373651736">
    <w:abstractNumId w:val="30"/>
  </w:num>
  <w:num w:numId="64" w16cid:durableId="1134638407">
    <w:abstractNumId w:val="23"/>
  </w:num>
  <w:num w:numId="65" w16cid:durableId="1397125565">
    <w:abstractNumId w:val="27"/>
  </w:num>
  <w:num w:numId="66" w16cid:durableId="202182119">
    <w:abstractNumId w:val="43"/>
  </w:num>
  <w:num w:numId="67" w16cid:durableId="327364946">
    <w:abstractNumId w:val="55"/>
  </w:num>
  <w:num w:numId="68" w16cid:durableId="1345010676">
    <w:abstractNumId w:val="45"/>
  </w:num>
  <w:num w:numId="69" w16cid:durableId="1075277359">
    <w:abstractNumId w:val="79"/>
  </w:num>
  <w:num w:numId="70" w16cid:durableId="271716005">
    <w:abstractNumId w:val="73"/>
  </w:num>
  <w:num w:numId="71" w16cid:durableId="1048996047">
    <w:abstractNumId w:val="15"/>
  </w:num>
  <w:num w:numId="72" w16cid:durableId="1798646692">
    <w:abstractNumId w:val="75"/>
  </w:num>
  <w:num w:numId="73" w16cid:durableId="1131289008">
    <w:abstractNumId w:val="24"/>
  </w:num>
  <w:num w:numId="74" w16cid:durableId="321200820">
    <w:abstractNumId w:val="22"/>
  </w:num>
  <w:num w:numId="75" w16cid:durableId="2088110968">
    <w:abstractNumId w:val="44"/>
  </w:num>
  <w:num w:numId="76" w16cid:durableId="858784560">
    <w:abstractNumId w:val="77"/>
  </w:num>
  <w:num w:numId="77" w16cid:durableId="1716545336">
    <w:abstractNumId w:val="17"/>
  </w:num>
  <w:num w:numId="78" w16cid:durableId="2096053541">
    <w:abstractNumId w:val="70"/>
  </w:num>
  <w:num w:numId="79" w16cid:durableId="446004041">
    <w:abstractNumId w:val="68"/>
  </w:num>
  <w:num w:numId="80" w16cid:durableId="1948535351">
    <w:abstractNumId w:val="65"/>
  </w:num>
  <w:num w:numId="81" w16cid:durableId="1112895814">
    <w:abstractNumId w:val="63"/>
  </w:num>
  <w:num w:numId="82" w16cid:durableId="211964986">
    <w:abstractNumId w:val="80"/>
  </w:num>
  <w:num w:numId="83" w16cid:durableId="121726531">
    <w:abstractNumId w:val="64"/>
  </w:num>
  <w:num w:numId="84" w16cid:durableId="242183927">
    <w:abstractNumId w:val="53"/>
  </w:num>
  <w:num w:numId="85" w16cid:durableId="918834252">
    <w:abstractNumId w:val="10"/>
  </w:num>
  <w:num w:numId="86" w16cid:durableId="1620525340">
    <w:abstractNumId w:val="1"/>
  </w:num>
  <w:num w:numId="87" w16cid:durableId="1000738681">
    <w:abstractNumId w:val="16"/>
  </w:num>
  <w:num w:numId="88" w16cid:durableId="1223295084">
    <w:abstractNumId w:val="5"/>
  </w:num>
  <w:num w:numId="89" w16cid:durableId="972831814">
    <w:abstractNumId w:val="5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FD"/>
    <w:rsid w:val="00000A2C"/>
    <w:rsid w:val="00002ACE"/>
    <w:rsid w:val="00004575"/>
    <w:rsid w:val="00016D48"/>
    <w:rsid w:val="00020DE7"/>
    <w:rsid w:val="0002478A"/>
    <w:rsid w:val="00032B54"/>
    <w:rsid w:val="00033E2A"/>
    <w:rsid w:val="000349A9"/>
    <w:rsid w:val="00037037"/>
    <w:rsid w:val="00043673"/>
    <w:rsid w:val="00045BB7"/>
    <w:rsid w:val="00047805"/>
    <w:rsid w:val="00055752"/>
    <w:rsid w:val="00057B13"/>
    <w:rsid w:val="000620BE"/>
    <w:rsid w:val="000628DC"/>
    <w:rsid w:val="00064AE4"/>
    <w:rsid w:val="000656DB"/>
    <w:rsid w:val="00067ECE"/>
    <w:rsid w:val="00073A1B"/>
    <w:rsid w:val="000752C0"/>
    <w:rsid w:val="00076824"/>
    <w:rsid w:val="0008491C"/>
    <w:rsid w:val="00087C5F"/>
    <w:rsid w:val="00090E8A"/>
    <w:rsid w:val="000938A1"/>
    <w:rsid w:val="00094AD6"/>
    <w:rsid w:val="00095684"/>
    <w:rsid w:val="0009686A"/>
    <w:rsid w:val="000971D0"/>
    <w:rsid w:val="00097B7F"/>
    <w:rsid w:val="000A75A8"/>
    <w:rsid w:val="000C159F"/>
    <w:rsid w:val="000C225F"/>
    <w:rsid w:val="000C6F30"/>
    <w:rsid w:val="000D0D68"/>
    <w:rsid w:val="000D2565"/>
    <w:rsid w:val="000D76E8"/>
    <w:rsid w:val="000E07A1"/>
    <w:rsid w:val="000E6CE1"/>
    <w:rsid w:val="00104B4E"/>
    <w:rsid w:val="00111B4A"/>
    <w:rsid w:val="00117D0F"/>
    <w:rsid w:val="00117E43"/>
    <w:rsid w:val="001225FD"/>
    <w:rsid w:val="00126402"/>
    <w:rsid w:val="001364AD"/>
    <w:rsid w:val="0013666A"/>
    <w:rsid w:val="001367B1"/>
    <w:rsid w:val="00143FE5"/>
    <w:rsid w:val="00151005"/>
    <w:rsid w:val="00153239"/>
    <w:rsid w:val="00160FD7"/>
    <w:rsid w:val="00161460"/>
    <w:rsid w:val="00162C61"/>
    <w:rsid w:val="00163A8B"/>
    <w:rsid w:val="00166419"/>
    <w:rsid w:val="00167A13"/>
    <w:rsid w:val="00167A37"/>
    <w:rsid w:val="00171277"/>
    <w:rsid w:val="0017133E"/>
    <w:rsid w:val="00175976"/>
    <w:rsid w:val="001848C6"/>
    <w:rsid w:val="0019071F"/>
    <w:rsid w:val="00191E14"/>
    <w:rsid w:val="001924B2"/>
    <w:rsid w:val="001A0D7E"/>
    <w:rsid w:val="001A4680"/>
    <w:rsid w:val="001B0D30"/>
    <w:rsid w:val="001B1FD6"/>
    <w:rsid w:val="001C38A4"/>
    <w:rsid w:val="001D0DDD"/>
    <w:rsid w:val="001D26EE"/>
    <w:rsid w:val="001D4F8E"/>
    <w:rsid w:val="001D6323"/>
    <w:rsid w:val="001D7846"/>
    <w:rsid w:val="001E0408"/>
    <w:rsid w:val="001E06CC"/>
    <w:rsid w:val="001E2638"/>
    <w:rsid w:val="001E2826"/>
    <w:rsid w:val="001E4DCA"/>
    <w:rsid w:val="001F3581"/>
    <w:rsid w:val="001F7F00"/>
    <w:rsid w:val="002001CD"/>
    <w:rsid w:val="002004A4"/>
    <w:rsid w:val="00202549"/>
    <w:rsid w:val="002027D6"/>
    <w:rsid w:val="0021207A"/>
    <w:rsid w:val="0021501C"/>
    <w:rsid w:val="0021660E"/>
    <w:rsid w:val="00220428"/>
    <w:rsid w:val="0022131C"/>
    <w:rsid w:val="00221DE6"/>
    <w:rsid w:val="002237B1"/>
    <w:rsid w:val="00225669"/>
    <w:rsid w:val="002365A1"/>
    <w:rsid w:val="00241A2B"/>
    <w:rsid w:val="002437F4"/>
    <w:rsid w:val="002451A4"/>
    <w:rsid w:val="00251CE9"/>
    <w:rsid w:val="002526D6"/>
    <w:rsid w:val="00253DD9"/>
    <w:rsid w:val="00254044"/>
    <w:rsid w:val="0026088A"/>
    <w:rsid w:val="00262914"/>
    <w:rsid w:val="00262BE8"/>
    <w:rsid w:val="00263965"/>
    <w:rsid w:val="0026468F"/>
    <w:rsid w:val="002744D2"/>
    <w:rsid w:val="0027485C"/>
    <w:rsid w:val="002753D4"/>
    <w:rsid w:val="00285673"/>
    <w:rsid w:val="0029400F"/>
    <w:rsid w:val="00296083"/>
    <w:rsid w:val="00296419"/>
    <w:rsid w:val="002A704E"/>
    <w:rsid w:val="002A75FA"/>
    <w:rsid w:val="002B1345"/>
    <w:rsid w:val="002B1524"/>
    <w:rsid w:val="002B311B"/>
    <w:rsid w:val="002B49B8"/>
    <w:rsid w:val="002B6CB3"/>
    <w:rsid w:val="002C3139"/>
    <w:rsid w:val="002D1131"/>
    <w:rsid w:val="002D321E"/>
    <w:rsid w:val="002D451B"/>
    <w:rsid w:val="002D7892"/>
    <w:rsid w:val="002E309F"/>
    <w:rsid w:val="002E594C"/>
    <w:rsid w:val="002E740A"/>
    <w:rsid w:val="002E7AF1"/>
    <w:rsid w:val="002F5187"/>
    <w:rsid w:val="00301A8C"/>
    <w:rsid w:val="003030E9"/>
    <w:rsid w:val="00303390"/>
    <w:rsid w:val="00303EE7"/>
    <w:rsid w:val="00306D84"/>
    <w:rsid w:val="00310059"/>
    <w:rsid w:val="00312B74"/>
    <w:rsid w:val="00313111"/>
    <w:rsid w:val="00314F9E"/>
    <w:rsid w:val="00333746"/>
    <w:rsid w:val="00333ED6"/>
    <w:rsid w:val="003368C3"/>
    <w:rsid w:val="0034192B"/>
    <w:rsid w:val="00343AF4"/>
    <w:rsid w:val="00352832"/>
    <w:rsid w:val="00352A65"/>
    <w:rsid w:val="00353DBD"/>
    <w:rsid w:val="003546AC"/>
    <w:rsid w:val="00354879"/>
    <w:rsid w:val="00354BC7"/>
    <w:rsid w:val="00355469"/>
    <w:rsid w:val="003560E9"/>
    <w:rsid w:val="003561DE"/>
    <w:rsid w:val="0035720D"/>
    <w:rsid w:val="00362296"/>
    <w:rsid w:val="00370310"/>
    <w:rsid w:val="00372681"/>
    <w:rsid w:val="003728B8"/>
    <w:rsid w:val="00372D14"/>
    <w:rsid w:val="00373002"/>
    <w:rsid w:val="0038311A"/>
    <w:rsid w:val="00393026"/>
    <w:rsid w:val="00393CBC"/>
    <w:rsid w:val="003A178D"/>
    <w:rsid w:val="003A40CA"/>
    <w:rsid w:val="003A66D6"/>
    <w:rsid w:val="003B114F"/>
    <w:rsid w:val="003B7C69"/>
    <w:rsid w:val="003C018C"/>
    <w:rsid w:val="003C6D5C"/>
    <w:rsid w:val="003D12FE"/>
    <w:rsid w:val="003D2116"/>
    <w:rsid w:val="003D3AF0"/>
    <w:rsid w:val="003D4683"/>
    <w:rsid w:val="003D6503"/>
    <w:rsid w:val="003E4348"/>
    <w:rsid w:val="003F3CD5"/>
    <w:rsid w:val="003F47F2"/>
    <w:rsid w:val="003F5356"/>
    <w:rsid w:val="003F7E72"/>
    <w:rsid w:val="00400645"/>
    <w:rsid w:val="00401FF1"/>
    <w:rsid w:val="0040287A"/>
    <w:rsid w:val="00405280"/>
    <w:rsid w:val="0040617E"/>
    <w:rsid w:val="00406F82"/>
    <w:rsid w:val="004110A0"/>
    <w:rsid w:val="0041720E"/>
    <w:rsid w:val="00421BEE"/>
    <w:rsid w:val="00424576"/>
    <w:rsid w:val="004268BA"/>
    <w:rsid w:val="00427D4D"/>
    <w:rsid w:val="004315F8"/>
    <w:rsid w:val="00433946"/>
    <w:rsid w:val="0043445F"/>
    <w:rsid w:val="004352A4"/>
    <w:rsid w:val="00437244"/>
    <w:rsid w:val="00442301"/>
    <w:rsid w:val="004430B8"/>
    <w:rsid w:val="00445D54"/>
    <w:rsid w:val="00445F32"/>
    <w:rsid w:val="00464A74"/>
    <w:rsid w:val="00465790"/>
    <w:rsid w:val="00466786"/>
    <w:rsid w:val="004678AB"/>
    <w:rsid w:val="00470FD1"/>
    <w:rsid w:val="00477942"/>
    <w:rsid w:val="00480C9E"/>
    <w:rsid w:val="00480E6D"/>
    <w:rsid w:val="00490627"/>
    <w:rsid w:val="004917D9"/>
    <w:rsid w:val="00491D45"/>
    <w:rsid w:val="00493994"/>
    <w:rsid w:val="00493E4A"/>
    <w:rsid w:val="00494156"/>
    <w:rsid w:val="004958BC"/>
    <w:rsid w:val="00497F5B"/>
    <w:rsid w:val="004A3895"/>
    <w:rsid w:val="004A3BEB"/>
    <w:rsid w:val="004A6D40"/>
    <w:rsid w:val="004B09EF"/>
    <w:rsid w:val="004B55C1"/>
    <w:rsid w:val="004C4A29"/>
    <w:rsid w:val="004C5DE3"/>
    <w:rsid w:val="004C6A05"/>
    <w:rsid w:val="004D48FD"/>
    <w:rsid w:val="004D7F3F"/>
    <w:rsid w:val="004F0B92"/>
    <w:rsid w:val="004F3E47"/>
    <w:rsid w:val="004F62F7"/>
    <w:rsid w:val="004F69B8"/>
    <w:rsid w:val="004F7053"/>
    <w:rsid w:val="004F794B"/>
    <w:rsid w:val="005011DE"/>
    <w:rsid w:val="005035E1"/>
    <w:rsid w:val="00504504"/>
    <w:rsid w:val="005122FB"/>
    <w:rsid w:val="00515FD3"/>
    <w:rsid w:val="00516525"/>
    <w:rsid w:val="00521403"/>
    <w:rsid w:val="00527FE5"/>
    <w:rsid w:val="005323FA"/>
    <w:rsid w:val="005344EA"/>
    <w:rsid w:val="0053780D"/>
    <w:rsid w:val="005405C1"/>
    <w:rsid w:val="00540794"/>
    <w:rsid w:val="005407AF"/>
    <w:rsid w:val="00540FE8"/>
    <w:rsid w:val="00542865"/>
    <w:rsid w:val="00543DBB"/>
    <w:rsid w:val="00545ECF"/>
    <w:rsid w:val="00547A4F"/>
    <w:rsid w:val="00553B51"/>
    <w:rsid w:val="00553F23"/>
    <w:rsid w:val="005557AD"/>
    <w:rsid w:val="00565AA4"/>
    <w:rsid w:val="005749E6"/>
    <w:rsid w:val="005766AF"/>
    <w:rsid w:val="00577BD1"/>
    <w:rsid w:val="005800E8"/>
    <w:rsid w:val="00586B5E"/>
    <w:rsid w:val="005904F6"/>
    <w:rsid w:val="00594C66"/>
    <w:rsid w:val="00597407"/>
    <w:rsid w:val="00597D1A"/>
    <w:rsid w:val="005A32FA"/>
    <w:rsid w:val="005B2549"/>
    <w:rsid w:val="005C7E83"/>
    <w:rsid w:val="005D0354"/>
    <w:rsid w:val="005D4365"/>
    <w:rsid w:val="005D5A3A"/>
    <w:rsid w:val="005E2BE3"/>
    <w:rsid w:val="005E2BEF"/>
    <w:rsid w:val="005E49A1"/>
    <w:rsid w:val="005E5D6F"/>
    <w:rsid w:val="005E601C"/>
    <w:rsid w:val="005F1F72"/>
    <w:rsid w:val="005F2DC3"/>
    <w:rsid w:val="00601B1A"/>
    <w:rsid w:val="006020D3"/>
    <w:rsid w:val="0060593C"/>
    <w:rsid w:val="00612E93"/>
    <w:rsid w:val="00615157"/>
    <w:rsid w:val="006474F7"/>
    <w:rsid w:val="00651B94"/>
    <w:rsid w:val="00653608"/>
    <w:rsid w:val="00656542"/>
    <w:rsid w:val="00657239"/>
    <w:rsid w:val="00660075"/>
    <w:rsid w:val="00663F45"/>
    <w:rsid w:val="00672479"/>
    <w:rsid w:val="00672C26"/>
    <w:rsid w:val="0067352D"/>
    <w:rsid w:val="006754A9"/>
    <w:rsid w:val="00675A95"/>
    <w:rsid w:val="00676F14"/>
    <w:rsid w:val="00681313"/>
    <w:rsid w:val="0068560B"/>
    <w:rsid w:val="00687A04"/>
    <w:rsid w:val="0069033E"/>
    <w:rsid w:val="0069782A"/>
    <w:rsid w:val="006A1F41"/>
    <w:rsid w:val="006B22E3"/>
    <w:rsid w:val="006C1E12"/>
    <w:rsid w:val="006C4009"/>
    <w:rsid w:val="006D6003"/>
    <w:rsid w:val="006D695D"/>
    <w:rsid w:val="006D79FF"/>
    <w:rsid w:val="006F51BF"/>
    <w:rsid w:val="006F6CEC"/>
    <w:rsid w:val="006F792D"/>
    <w:rsid w:val="007040C2"/>
    <w:rsid w:val="00707343"/>
    <w:rsid w:val="00707D26"/>
    <w:rsid w:val="00710DF7"/>
    <w:rsid w:val="00710E7B"/>
    <w:rsid w:val="007110AA"/>
    <w:rsid w:val="00716714"/>
    <w:rsid w:val="0072087B"/>
    <w:rsid w:val="007245D7"/>
    <w:rsid w:val="0072768F"/>
    <w:rsid w:val="0074196A"/>
    <w:rsid w:val="007435AF"/>
    <w:rsid w:val="007478B1"/>
    <w:rsid w:val="00753DCC"/>
    <w:rsid w:val="00760789"/>
    <w:rsid w:val="00767C9F"/>
    <w:rsid w:val="007701C9"/>
    <w:rsid w:val="00797608"/>
    <w:rsid w:val="00797D5A"/>
    <w:rsid w:val="007A67BA"/>
    <w:rsid w:val="007A7604"/>
    <w:rsid w:val="007B2641"/>
    <w:rsid w:val="007B3558"/>
    <w:rsid w:val="007B424E"/>
    <w:rsid w:val="007D2015"/>
    <w:rsid w:val="007D7CDA"/>
    <w:rsid w:val="007E1130"/>
    <w:rsid w:val="007F212B"/>
    <w:rsid w:val="007F5580"/>
    <w:rsid w:val="007F742A"/>
    <w:rsid w:val="00802B24"/>
    <w:rsid w:val="0080429F"/>
    <w:rsid w:val="00811084"/>
    <w:rsid w:val="0081207B"/>
    <w:rsid w:val="0081227C"/>
    <w:rsid w:val="0081573B"/>
    <w:rsid w:val="00823947"/>
    <w:rsid w:val="00827918"/>
    <w:rsid w:val="00830F2F"/>
    <w:rsid w:val="008331C9"/>
    <w:rsid w:val="00837A8D"/>
    <w:rsid w:val="00840DEF"/>
    <w:rsid w:val="008425BC"/>
    <w:rsid w:val="00842FD3"/>
    <w:rsid w:val="00844659"/>
    <w:rsid w:val="00845006"/>
    <w:rsid w:val="00855DF3"/>
    <w:rsid w:val="00861062"/>
    <w:rsid w:val="008611AF"/>
    <w:rsid w:val="00876685"/>
    <w:rsid w:val="008917A0"/>
    <w:rsid w:val="008935F1"/>
    <w:rsid w:val="00895F22"/>
    <w:rsid w:val="008A24EB"/>
    <w:rsid w:val="008A2CD3"/>
    <w:rsid w:val="008A34D2"/>
    <w:rsid w:val="008B23B9"/>
    <w:rsid w:val="008B4CD5"/>
    <w:rsid w:val="008B5C63"/>
    <w:rsid w:val="008B7B83"/>
    <w:rsid w:val="008B7BCD"/>
    <w:rsid w:val="008C1C20"/>
    <w:rsid w:val="008C3AE1"/>
    <w:rsid w:val="008D071F"/>
    <w:rsid w:val="008D3BBE"/>
    <w:rsid w:val="008D5CA5"/>
    <w:rsid w:val="008E05D1"/>
    <w:rsid w:val="008E1F64"/>
    <w:rsid w:val="008E35F3"/>
    <w:rsid w:val="008E42A1"/>
    <w:rsid w:val="008E732B"/>
    <w:rsid w:val="008F041F"/>
    <w:rsid w:val="008F26B0"/>
    <w:rsid w:val="008F27F7"/>
    <w:rsid w:val="008F6958"/>
    <w:rsid w:val="0090015B"/>
    <w:rsid w:val="009065F3"/>
    <w:rsid w:val="00914972"/>
    <w:rsid w:val="00915D31"/>
    <w:rsid w:val="009171ED"/>
    <w:rsid w:val="00917664"/>
    <w:rsid w:val="0092230E"/>
    <w:rsid w:val="009239B1"/>
    <w:rsid w:val="00930670"/>
    <w:rsid w:val="00931819"/>
    <w:rsid w:val="0093197C"/>
    <w:rsid w:val="00931F01"/>
    <w:rsid w:val="00933F8F"/>
    <w:rsid w:val="00934060"/>
    <w:rsid w:val="0094050B"/>
    <w:rsid w:val="00946D1A"/>
    <w:rsid w:val="00961B87"/>
    <w:rsid w:val="00962180"/>
    <w:rsid w:val="00964C03"/>
    <w:rsid w:val="00973CDA"/>
    <w:rsid w:val="0097593E"/>
    <w:rsid w:val="00977736"/>
    <w:rsid w:val="00980D15"/>
    <w:rsid w:val="0098207A"/>
    <w:rsid w:val="00993C02"/>
    <w:rsid w:val="0099405B"/>
    <w:rsid w:val="00995080"/>
    <w:rsid w:val="0099608B"/>
    <w:rsid w:val="009A1167"/>
    <w:rsid w:val="009A3EBD"/>
    <w:rsid w:val="009A407B"/>
    <w:rsid w:val="009B007F"/>
    <w:rsid w:val="009C1647"/>
    <w:rsid w:val="009C2409"/>
    <w:rsid w:val="009C69B8"/>
    <w:rsid w:val="009D0470"/>
    <w:rsid w:val="009D7A9F"/>
    <w:rsid w:val="009E0ABC"/>
    <w:rsid w:val="009E477C"/>
    <w:rsid w:val="009E4AEB"/>
    <w:rsid w:val="009E529E"/>
    <w:rsid w:val="009F1A73"/>
    <w:rsid w:val="009F31B5"/>
    <w:rsid w:val="009F6BF9"/>
    <w:rsid w:val="009F7DCB"/>
    <w:rsid w:val="00A00304"/>
    <w:rsid w:val="00A00B39"/>
    <w:rsid w:val="00A00C76"/>
    <w:rsid w:val="00A0189E"/>
    <w:rsid w:val="00A112F1"/>
    <w:rsid w:val="00A11E56"/>
    <w:rsid w:val="00A12BF8"/>
    <w:rsid w:val="00A2003B"/>
    <w:rsid w:val="00A20360"/>
    <w:rsid w:val="00A2723E"/>
    <w:rsid w:val="00A27676"/>
    <w:rsid w:val="00A302EC"/>
    <w:rsid w:val="00A328CF"/>
    <w:rsid w:val="00A330EA"/>
    <w:rsid w:val="00A35249"/>
    <w:rsid w:val="00A5205D"/>
    <w:rsid w:val="00A52813"/>
    <w:rsid w:val="00A570EA"/>
    <w:rsid w:val="00A606CA"/>
    <w:rsid w:val="00A62E97"/>
    <w:rsid w:val="00A671A5"/>
    <w:rsid w:val="00A67C8B"/>
    <w:rsid w:val="00A82BB7"/>
    <w:rsid w:val="00A84B72"/>
    <w:rsid w:val="00A926C2"/>
    <w:rsid w:val="00A972A0"/>
    <w:rsid w:val="00AA5680"/>
    <w:rsid w:val="00AA6825"/>
    <w:rsid w:val="00AB0EAC"/>
    <w:rsid w:val="00AB13E4"/>
    <w:rsid w:val="00AB1EE6"/>
    <w:rsid w:val="00AB2EBD"/>
    <w:rsid w:val="00AB3C2E"/>
    <w:rsid w:val="00AB49CF"/>
    <w:rsid w:val="00AB7CEE"/>
    <w:rsid w:val="00AC2180"/>
    <w:rsid w:val="00AC2FD4"/>
    <w:rsid w:val="00AD5980"/>
    <w:rsid w:val="00AD5DF5"/>
    <w:rsid w:val="00AD7EA3"/>
    <w:rsid w:val="00AE323F"/>
    <w:rsid w:val="00AE3F54"/>
    <w:rsid w:val="00AE4DC0"/>
    <w:rsid w:val="00AF0608"/>
    <w:rsid w:val="00AF3E73"/>
    <w:rsid w:val="00B0260C"/>
    <w:rsid w:val="00B03341"/>
    <w:rsid w:val="00B05F5F"/>
    <w:rsid w:val="00B07208"/>
    <w:rsid w:val="00B07B3B"/>
    <w:rsid w:val="00B10BF8"/>
    <w:rsid w:val="00B14EF1"/>
    <w:rsid w:val="00B20221"/>
    <w:rsid w:val="00B20576"/>
    <w:rsid w:val="00B2328E"/>
    <w:rsid w:val="00B248B6"/>
    <w:rsid w:val="00B24A52"/>
    <w:rsid w:val="00B30F7D"/>
    <w:rsid w:val="00B34815"/>
    <w:rsid w:val="00B472D7"/>
    <w:rsid w:val="00B5048D"/>
    <w:rsid w:val="00B51EDE"/>
    <w:rsid w:val="00B521FE"/>
    <w:rsid w:val="00B557C9"/>
    <w:rsid w:val="00B55BB2"/>
    <w:rsid w:val="00B60FBE"/>
    <w:rsid w:val="00B707B9"/>
    <w:rsid w:val="00B71D26"/>
    <w:rsid w:val="00B73652"/>
    <w:rsid w:val="00B736E5"/>
    <w:rsid w:val="00B7453A"/>
    <w:rsid w:val="00B75336"/>
    <w:rsid w:val="00B83A26"/>
    <w:rsid w:val="00B857A6"/>
    <w:rsid w:val="00B93B7F"/>
    <w:rsid w:val="00B93D88"/>
    <w:rsid w:val="00B94DB1"/>
    <w:rsid w:val="00B96F3C"/>
    <w:rsid w:val="00B96F6E"/>
    <w:rsid w:val="00BA0F30"/>
    <w:rsid w:val="00BB0BF0"/>
    <w:rsid w:val="00BC05D6"/>
    <w:rsid w:val="00BC5CA7"/>
    <w:rsid w:val="00BC63DF"/>
    <w:rsid w:val="00BC63E6"/>
    <w:rsid w:val="00BC77BC"/>
    <w:rsid w:val="00BC7D7C"/>
    <w:rsid w:val="00BD1ACA"/>
    <w:rsid w:val="00BD21AD"/>
    <w:rsid w:val="00BD7EC7"/>
    <w:rsid w:val="00BE177C"/>
    <w:rsid w:val="00BE53D1"/>
    <w:rsid w:val="00BF78F9"/>
    <w:rsid w:val="00C02105"/>
    <w:rsid w:val="00C06458"/>
    <w:rsid w:val="00C06F54"/>
    <w:rsid w:val="00C07682"/>
    <w:rsid w:val="00C15345"/>
    <w:rsid w:val="00C15833"/>
    <w:rsid w:val="00C15972"/>
    <w:rsid w:val="00C15C35"/>
    <w:rsid w:val="00C1672B"/>
    <w:rsid w:val="00C20250"/>
    <w:rsid w:val="00C34844"/>
    <w:rsid w:val="00C3484D"/>
    <w:rsid w:val="00C41F91"/>
    <w:rsid w:val="00C42165"/>
    <w:rsid w:val="00C44E09"/>
    <w:rsid w:val="00C46E68"/>
    <w:rsid w:val="00C53765"/>
    <w:rsid w:val="00C540A9"/>
    <w:rsid w:val="00C5518F"/>
    <w:rsid w:val="00C55DA8"/>
    <w:rsid w:val="00C572A7"/>
    <w:rsid w:val="00C744F3"/>
    <w:rsid w:val="00C83A01"/>
    <w:rsid w:val="00C85095"/>
    <w:rsid w:val="00C90FC6"/>
    <w:rsid w:val="00C96CD5"/>
    <w:rsid w:val="00CA03A2"/>
    <w:rsid w:val="00CA189D"/>
    <w:rsid w:val="00CA4228"/>
    <w:rsid w:val="00CA4646"/>
    <w:rsid w:val="00CA725A"/>
    <w:rsid w:val="00CB6EA3"/>
    <w:rsid w:val="00CC1D8D"/>
    <w:rsid w:val="00CC47F6"/>
    <w:rsid w:val="00CD04CF"/>
    <w:rsid w:val="00CD3B9E"/>
    <w:rsid w:val="00CE222A"/>
    <w:rsid w:val="00CE43D5"/>
    <w:rsid w:val="00CF3B25"/>
    <w:rsid w:val="00CF5189"/>
    <w:rsid w:val="00CF5E91"/>
    <w:rsid w:val="00CF6111"/>
    <w:rsid w:val="00D03853"/>
    <w:rsid w:val="00D0626B"/>
    <w:rsid w:val="00D06E44"/>
    <w:rsid w:val="00D076A0"/>
    <w:rsid w:val="00D11279"/>
    <w:rsid w:val="00D12977"/>
    <w:rsid w:val="00D15784"/>
    <w:rsid w:val="00D225CD"/>
    <w:rsid w:val="00D22E0E"/>
    <w:rsid w:val="00D342D1"/>
    <w:rsid w:val="00D35DFD"/>
    <w:rsid w:val="00D40588"/>
    <w:rsid w:val="00D42F12"/>
    <w:rsid w:val="00D43D29"/>
    <w:rsid w:val="00D47FD9"/>
    <w:rsid w:val="00D5021A"/>
    <w:rsid w:val="00D54981"/>
    <w:rsid w:val="00D54E90"/>
    <w:rsid w:val="00D5529F"/>
    <w:rsid w:val="00D55611"/>
    <w:rsid w:val="00D55823"/>
    <w:rsid w:val="00D564E1"/>
    <w:rsid w:val="00D62707"/>
    <w:rsid w:val="00D76534"/>
    <w:rsid w:val="00D80225"/>
    <w:rsid w:val="00D834B4"/>
    <w:rsid w:val="00D8584F"/>
    <w:rsid w:val="00D86E67"/>
    <w:rsid w:val="00D92104"/>
    <w:rsid w:val="00D92854"/>
    <w:rsid w:val="00D94173"/>
    <w:rsid w:val="00DA1397"/>
    <w:rsid w:val="00DA1685"/>
    <w:rsid w:val="00DA3940"/>
    <w:rsid w:val="00DA743B"/>
    <w:rsid w:val="00DB07B7"/>
    <w:rsid w:val="00DB4653"/>
    <w:rsid w:val="00DC178B"/>
    <w:rsid w:val="00DC3B58"/>
    <w:rsid w:val="00DC7CDB"/>
    <w:rsid w:val="00DD187C"/>
    <w:rsid w:val="00DD3B8F"/>
    <w:rsid w:val="00DD4749"/>
    <w:rsid w:val="00DD50C8"/>
    <w:rsid w:val="00DE36D0"/>
    <w:rsid w:val="00DE6650"/>
    <w:rsid w:val="00DE6A8E"/>
    <w:rsid w:val="00DE76A1"/>
    <w:rsid w:val="00DF0A5A"/>
    <w:rsid w:val="00DF5F17"/>
    <w:rsid w:val="00DF7DFD"/>
    <w:rsid w:val="00E05237"/>
    <w:rsid w:val="00E12480"/>
    <w:rsid w:val="00E145D4"/>
    <w:rsid w:val="00E177D8"/>
    <w:rsid w:val="00E22088"/>
    <w:rsid w:val="00E22DAE"/>
    <w:rsid w:val="00E34965"/>
    <w:rsid w:val="00E37300"/>
    <w:rsid w:val="00E37C09"/>
    <w:rsid w:val="00E40B1B"/>
    <w:rsid w:val="00E40CCE"/>
    <w:rsid w:val="00E41CC5"/>
    <w:rsid w:val="00E46279"/>
    <w:rsid w:val="00E470A5"/>
    <w:rsid w:val="00E507C9"/>
    <w:rsid w:val="00E5151E"/>
    <w:rsid w:val="00E60997"/>
    <w:rsid w:val="00E66900"/>
    <w:rsid w:val="00E673FD"/>
    <w:rsid w:val="00E67F89"/>
    <w:rsid w:val="00E704A1"/>
    <w:rsid w:val="00E90E48"/>
    <w:rsid w:val="00E92C24"/>
    <w:rsid w:val="00E93D66"/>
    <w:rsid w:val="00E94F16"/>
    <w:rsid w:val="00E9612D"/>
    <w:rsid w:val="00E9696D"/>
    <w:rsid w:val="00E97D64"/>
    <w:rsid w:val="00EA15EB"/>
    <w:rsid w:val="00EA2905"/>
    <w:rsid w:val="00EA2C2A"/>
    <w:rsid w:val="00EB10F9"/>
    <w:rsid w:val="00EB432C"/>
    <w:rsid w:val="00EB5A4D"/>
    <w:rsid w:val="00EB70B1"/>
    <w:rsid w:val="00EC0382"/>
    <w:rsid w:val="00EC07A4"/>
    <w:rsid w:val="00EC08CF"/>
    <w:rsid w:val="00EC6757"/>
    <w:rsid w:val="00EE4082"/>
    <w:rsid w:val="00EF4775"/>
    <w:rsid w:val="00EF6154"/>
    <w:rsid w:val="00F01511"/>
    <w:rsid w:val="00F06698"/>
    <w:rsid w:val="00F1152B"/>
    <w:rsid w:val="00F1236B"/>
    <w:rsid w:val="00F1328A"/>
    <w:rsid w:val="00F2224A"/>
    <w:rsid w:val="00F22636"/>
    <w:rsid w:val="00F24F27"/>
    <w:rsid w:val="00F41032"/>
    <w:rsid w:val="00F41039"/>
    <w:rsid w:val="00F43A5B"/>
    <w:rsid w:val="00F4509F"/>
    <w:rsid w:val="00F60BA6"/>
    <w:rsid w:val="00F62BB8"/>
    <w:rsid w:val="00F648EA"/>
    <w:rsid w:val="00F66863"/>
    <w:rsid w:val="00F72AFE"/>
    <w:rsid w:val="00F7471A"/>
    <w:rsid w:val="00F77815"/>
    <w:rsid w:val="00F81638"/>
    <w:rsid w:val="00F835D8"/>
    <w:rsid w:val="00F840BF"/>
    <w:rsid w:val="00F85A67"/>
    <w:rsid w:val="00F912B9"/>
    <w:rsid w:val="00F925ED"/>
    <w:rsid w:val="00F93ACD"/>
    <w:rsid w:val="00F94C92"/>
    <w:rsid w:val="00F95F70"/>
    <w:rsid w:val="00FA1EA6"/>
    <w:rsid w:val="00FA3E3A"/>
    <w:rsid w:val="00FA4AA8"/>
    <w:rsid w:val="00FA64FF"/>
    <w:rsid w:val="00FA6BCF"/>
    <w:rsid w:val="00FB3439"/>
    <w:rsid w:val="00FB6BEF"/>
    <w:rsid w:val="00FC279A"/>
    <w:rsid w:val="00FC3A49"/>
    <w:rsid w:val="00FC633B"/>
    <w:rsid w:val="00FD4438"/>
    <w:rsid w:val="00FD4D51"/>
    <w:rsid w:val="00FD6B26"/>
    <w:rsid w:val="00FD7ACA"/>
    <w:rsid w:val="00FE57B4"/>
    <w:rsid w:val="00FE6ED9"/>
    <w:rsid w:val="00FE7251"/>
    <w:rsid w:val="00FF34A7"/>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CDDC2"/>
  <w15:chartTrackingRefBased/>
  <w15:docId w15:val="{9D686A2E-85E8-4B86-AC7A-969CF5D8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link w:val="Heading2Char"/>
    <w:qFormat/>
    <w:pPr>
      <w:keepNext/>
      <w:tabs>
        <w:tab w:val="left" w:pos="1440"/>
        <w:tab w:val="left" w:pos="2880"/>
        <w:tab w:val="left" w:pos="4395"/>
        <w:tab w:val="left" w:pos="5760"/>
        <w:tab w:val="left" w:pos="7560"/>
      </w:tabs>
      <w:spacing w:line="360" w:lineRule="atLeast"/>
      <w:jc w:val="both"/>
      <w:outlineLvl w:val="1"/>
    </w:pPr>
    <w:rPr>
      <w:b/>
      <w:bCs/>
      <w:sz w:val="22"/>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1440"/>
        <w:tab w:val="left" w:pos="7560"/>
      </w:tabs>
      <w:spacing w:line="360" w:lineRule="atLeast"/>
      <w:ind w:left="720" w:hanging="720"/>
      <w:jc w:val="both"/>
    </w:pPr>
    <w:rPr>
      <w:sz w:val="22"/>
    </w:rPr>
  </w:style>
  <w:style w:type="paragraph" w:styleId="BodyTextIndent2">
    <w:name w:val="Body Text Indent 2"/>
    <w:basedOn w:val="Normal"/>
    <w:pPr>
      <w:tabs>
        <w:tab w:val="left" w:pos="2160"/>
        <w:tab w:val="left" w:pos="7560"/>
      </w:tabs>
      <w:spacing w:line="360" w:lineRule="atLeast"/>
      <w:ind w:left="2160" w:hanging="2160"/>
      <w:jc w:val="both"/>
    </w:pPr>
    <w:rPr>
      <w:sz w:val="22"/>
    </w:rPr>
  </w:style>
  <w:style w:type="paragraph" w:styleId="BodyText">
    <w:name w:val="Body Text"/>
    <w:basedOn w:val="Normal"/>
    <w:pPr>
      <w:tabs>
        <w:tab w:val="left" w:pos="7560"/>
      </w:tabs>
      <w:spacing w:line="360" w:lineRule="atLeast"/>
      <w:jc w:val="both"/>
    </w:pPr>
    <w:rPr>
      <w:sz w:val="22"/>
    </w:rPr>
  </w:style>
  <w:style w:type="paragraph" w:styleId="BlockText">
    <w:name w:val="Block Text"/>
    <w:basedOn w:val="Normal"/>
    <w:pPr>
      <w:tabs>
        <w:tab w:val="left" w:pos="1440"/>
        <w:tab w:val="left" w:pos="7560"/>
      </w:tabs>
      <w:spacing w:line="360" w:lineRule="atLeast"/>
      <w:ind w:left="1418" w:right="-7" w:hanging="1418"/>
      <w:jc w:val="both"/>
    </w:pPr>
    <w:rPr>
      <w:sz w:val="22"/>
    </w:rPr>
  </w:style>
  <w:style w:type="paragraph" w:styleId="BodyTextIndent3">
    <w:name w:val="Body Text Indent 3"/>
    <w:basedOn w:val="Normal"/>
    <w:pPr>
      <w:tabs>
        <w:tab w:val="left" w:pos="1440"/>
        <w:tab w:val="left" w:pos="7560"/>
      </w:tabs>
      <w:spacing w:line="360" w:lineRule="atLeast"/>
      <w:ind w:left="1418" w:hanging="1418"/>
      <w:jc w:val="both"/>
    </w:pPr>
    <w:rPr>
      <w:sz w:val="22"/>
    </w:rPr>
  </w:style>
  <w:style w:type="paragraph" w:styleId="Title">
    <w:name w:val="Title"/>
    <w:basedOn w:val="Normal"/>
    <w:qFormat/>
    <w:pPr>
      <w:tabs>
        <w:tab w:val="left" w:pos="1440"/>
        <w:tab w:val="left" w:pos="2160"/>
        <w:tab w:val="left" w:pos="7560"/>
      </w:tabs>
      <w:spacing w:line="240" w:lineRule="atLeast"/>
      <w:ind w:left="2160" w:hanging="2160"/>
      <w:jc w:val="center"/>
    </w:pPr>
    <w:rPr>
      <w:b/>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7560"/>
      </w:tabs>
      <w:spacing w:after="120" w:line="240" w:lineRule="auto"/>
      <w:ind w:firstLine="210"/>
      <w:jc w:val="left"/>
    </w:pPr>
    <w:rPr>
      <w:sz w:val="24"/>
    </w:rPr>
  </w:style>
  <w:style w:type="paragraph" w:styleId="BodyTextFirstIndent2">
    <w:name w:val="Body Text First Indent 2"/>
    <w:basedOn w:val="BodyTextIndent"/>
    <w:pPr>
      <w:tabs>
        <w:tab w:val="clear" w:pos="1440"/>
        <w:tab w:val="clear" w:pos="7560"/>
      </w:tabs>
      <w:spacing w:after="120" w:line="240" w:lineRule="auto"/>
      <w:ind w:left="283" w:firstLine="210"/>
      <w:jc w:val="left"/>
    </w:pPr>
    <w:rPr>
      <w:sz w:val="24"/>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uiPriority w:val="39"/>
    <w:qFormat/>
    <w:rsid w:val="00055752"/>
    <w:pPr>
      <w:tabs>
        <w:tab w:val="right" w:leader="dot" w:pos="9607"/>
      </w:tabs>
    </w:pPr>
  </w:style>
  <w:style w:type="character" w:styleId="Hyperlink">
    <w:name w:val="Hyperlink"/>
    <w:uiPriority w:val="99"/>
    <w:rPr>
      <w:color w:val="0000FF"/>
      <w:u w:val="single"/>
    </w:rPr>
  </w:style>
  <w:style w:type="paragraph" w:styleId="TOC2">
    <w:name w:val="toc 2"/>
    <w:basedOn w:val="Normal"/>
    <w:next w:val="Normal"/>
    <w:autoRedefine/>
    <w:uiPriority w:val="39"/>
    <w:qFormat/>
    <w:pPr>
      <w:tabs>
        <w:tab w:val="left" w:pos="990"/>
        <w:tab w:val="right" w:leader="dot" w:pos="9597"/>
      </w:tabs>
      <w:ind w:left="240"/>
    </w:pPr>
  </w:style>
  <w:style w:type="paragraph" w:styleId="TOC3">
    <w:name w:val="toc 3"/>
    <w:basedOn w:val="Normal"/>
    <w:next w:val="Normal"/>
    <w:autoRedefine/>
    <w:uiPriority w:val="39"/>
    <w:qFormat/>
    <w:pPr>
      <w:ind w:left="48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022bulletindent2">
    <w:name w:val="022bulletindent2"/>
    <w:basedOn w:val="Normal"/>
    <w:pPr>
      <w:spacing w:before="100" w:beforeAutospacing="1" w:after="60" w:afterAutospacing="1"/>
      <w:ind w:left="1620"/>
      <w:jc w:val="both"/>
    </w:pPr>
    <w:rPr>
      <w:rFonts w:ascii="Arial" w:eastAsia="Arial Unicode MS" w:hAnsi="Arial" w:cs="Arial"/>
      <w:szCs w:val="24"/>
    </w:rPr>
  </w:style>
  <w:style w:type="character" w:customStyle="1" w:styleId="901bold">
    <w:name w:val="901bold"/>
    <w:basedOn w:val="DefaultParagraphFont"/>
  </w:style>
  <w:style w:type="character" w:customStyle="1" w:styleId="023bulletindent3">
    <w:name w:val="023bulletindent3"/>
    <w:basedOn w:val="DefaultParagraphFont"/>
  </w:style>
  <w:style w:type="paragraph" w:styleId="Caption">
    <w:name w:val="caption"/>
    <w:basedOn w:val="Normal"/>
    <w:next w:val="Normal"/>
    <w:qFormat/>
    <w:pPr>
      <w:spacing w:before="120" w:after="120"/>
    </w:pPr>
    <w:rPr>
      <w:b/>
      <w:bCs/>
      <w:sz w:val="20"/>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alloonText">
    <w:name w:val="Balloon Text"/>
    <w:basedOn w:val="Normal"/>
    <w:link w:val="BalloonTextChar"/>
    <w:semiHidden/>
    <w:rPr>
      <w:rFonts w:ascii="Tahoma" w:hAnsi="Tahoma" w:cs="Tahoma"/>
      <w:sz w:val="16"/>
      <w:szCs w:val="16"/>
    </w:rPr>
  </w:style>
  <w:style w:type="paragraph" w:customStyle="1" w:styleId="ales">
    <w:name w:val="ales"/>
    <w:basedOn w:val="Normal"/>
    <w:pPr>
      <w:tabs>
        <w:tab w:val="left" w:pos="2160"/>
      </w:tabs>
      <w:spacing w:line="360" w:lineRule="atLeast"/>
      <w:jc w:val="both"/>
    </w:pPr>
    <w:rPr>
      <w:sz w:val="20"/>
    </w:rPr>
  </w:style>
  <w:style w:type="character" w:customStyle="1" w:styleId="Heading0">
    <w:name w:val="Heading 0"/>
    <w:rPr>
      <w:rFonts w:ascii="Smith&amp;Nephew-Bold" w:hAnsi="Smith&amp;Nephew-Bold"/>
      <w:sz w:val="2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wajikChar1">
    <w:name w:val="wajik Char1"/>
    <w:basedOn w:val="Normal"/>
    <w:pPr>
      <w:numPr>
        <w:numId w:val="1"/>
      </w:numPr>
      <w:jc w:val="both"/>
    </w:pPr>
    <w:rPr>
      <w:rFonts w:ascii="Verdana" w:hAnsi="Verdana"/>
      <w:bCs/>
      <w:sz w:val="18"/>
      <w:szCs w:val="24"/>
      <w:lang w:eastAsia="fr-BE"/>
    </w:rPr>
  </w:style>
  <w:style w:type="character" w:customStyle="1" w:styleId="wajikChar1Char">
    <w:name w:val="wajik Char1 Char"/>
    <w:rPr>
      <w:rFonts w:ascii="Verdana" w:hAnsi="Verdana"/>
      <w:bCs/>
      <w:sz w:val="18"/>
      <w:szCs w:val="24"/>
      <w:lang w:val="en-US" w:eastAsia="fr-BE" w:bidi="ar-SA"/>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rPr>
      <w:b/>
      <w:bCs/>
    </w:rPr>
  </w:style>
  <w:style w:type="character" w:customStyle="1" w:styleId="lojm">
    <w:name w:val="lojm"/>
    <w:semiHidden/>
    <w:rPr>
      <w:rFonts w:ascii="Arial" w:hAnsi="Arial" w:cs="Arial"/>
      <w:color w:val="auto"/>
      <w:sz w:val="20"/>
      <w:szCs w:val="20"/>
    </w:rPr>
  </w:style>
  <w:style w:type="character" w:customStyle="1" w:styleId="Heading1Char">
    <w:name w:val="Heading 1 Char"/>
    <w:rPr>
      <w:b/>
      <w:lang w:val="en-GB" w:eastAsia="en-US" w:bidi="ar-SA"/>
    </w:rPr>
  </w:style>
  <w:style w:type="paragraph" w:styleId="ListParagraph">
    <w:name w:val="List Paragraph"/>
    <w:basedOn w:val="Normal"/>
    <w:uiPriority w:val="34"/>
    <w:qFormat/>
    <w:pPr>
      <w:ind w:left="720"/>
    </w:pPr>
    <w:rPr>
      <w:szCs w:val="24"/>
    </w:rPr>
  </w:style>
  <w:style w:type="table" w:customStyle="1" w:styleId="TableGrid1">
    <w:name w:val="Table Grid1"/>
    <w:basedOn w:val="TableNormal"/>
    <w:next w:val="TableGrid"/>
    <w:uiPriority w:val="5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b/>
      <w:bCs/>
      <w:sz w:val="22"/>
      <w:lang w:val="en-GB"/>
    </w:rPr>
  </w:style>
  <w:style w:type="paragraph" w:customStyle="1" w:styleId="Default">
    <w:name w:val="Default"/>
    <w:pPr>
      <w:autoSpaceDE w:val="0"/>
      <w:autoSpaceDN w:val="0"/>
      <w:adjustRightInd w:val="0"/>
    </w:pPr>
    <w:rPr>
      <w:rFonts w:ascii="EYInterstate" w:hAnsi="EYInterstate" w:cs="EYInterstate"/>
      <w:color w:val="000000"/>
      <w:sz w:val="24"/>
      <w:szCs w:val="24"/>
    </w:rPr>
  </w:style>
  <w:style w:type="character" w:customStyle="1" w:styleId="Heading3Char">
    <w:name w:val="Heading 3 Char"/>
    <w:link w:val="Heading3"/>
    <w:rPr>
      <w:rFonts w:ascii="Arial" w:hAnsi="Arial" w:cs="Arial"/>
      <w:b/>
      <w:bCs/>
      <w:sz w:val="26"/>
      <w:szCs w:val="26"/>
      <w:lang w:val="en-GB"/>
    </w:rPr>
  </w:style>
  <w:style w:type="character" w:customStyle="1" w:styleId="FooterChar">
    <w:name w:val="Footer Char"/>
    <w:link w:val="Footer"/>
    <w:uiPriority w:val="99"/>
    <w:rPr>
      <w:sz w:val="24"/>
      <w:lang w:val="en-GB"/>
    </w:rPr>
  </w:style>
  <w:style w:type="paragraph" w:styleId="TOCHeading">
    <w:name w:val="TOC Heading"/>
    <w:basedOn w:val="Heading1"/>
    <w:next w:val="Normal"/>
    <w:uiPriority w:val="39"/>
    <w:unhideWhenUsed/>
    <w:qFormat/>
    <w:pPr>
      <w:keepLines/>
      <w:spacing w:before="480" w:line="276" w:lineRule="auto"/>
      <w:outlineLvl w:val="9"/>
    </w:pPr>
    <w:rPr>
      <w:rFonts w:ascii="Cambria" w:eastAsia="MS Gothic" w:hAnsi="Cambria"/>
      <w:bCs/>
      <w:color w:val="365F91"/>
      <w:sz w:val="28"/>
      <w:szCs w:val="28"/>
      <w:lang w:eastAsia="ja-JP"/>
    </w:rPr>
  </w:style>
  <w:style w:type="character" w:customStyle="1" w:styleId="codificationsourcestart1">
    <w:name w:val="codificationsourcestart1"/>
    <w:rPr>
      <w:vanish/>
      <w:webHidden w:val="0"/>
      <w:specVanish w:val="0"/>
    </w:rPr>
  </w:style>
  <w:style w:type="paragraph" w:styleId="Revision">
    <w:name w:val="Revision"/>
    <w:hidden/>
    <w:uiPriority w:val="99"/>
    <w:semiHidden/>
    <w:rPr>
      <w:sz w:val="24"/>
    </w:rPr>
  </w:style>
  <w:style w:type="character" w:customStyle="1" w:styleId="BalloonTextChar">
    <w:name w:val="Balloon Text Char"/>
    <w:basedOn w:val="DefaultParagraphFont"/>
    <w:link w:val="BalloonText"/>
    <w:semiHidden/>
    <w:rsid w:val="00F840BF"/>
    <w:rPr>
      <w:rFonts w:ascii="Tahoma" w:hAnsi="Tahoma" w:cs="Tahoma"/>
      <w:sz w:val="16"/>
      <w:szCs w:val="16"/>
    </w:rPr>
  </w:style>
  <w:style w:type="character" w:styleId="FollowedHyperlink">
    <w:name w:val="FollowedHyperlink"/>
    <w:basedOn w:val="DefaultParagraphFont"/>
    <w:rsid w:val="0081207B"/>
    <w:rPr>
      <w:color w:val="954F72" w:themeColor="followedHyperlink"/>
      <w:u w:val="single"/>
    </w:rPr>
  </w:style>
  <w:style w:type="character" w:styleId="EndnoteReference">
    <w:name w:val="endnote reference"/>
    <w:basedOn w:val="DefaultParagraphFont"/>
    <w:rsid w:val="00153239"/>
    <w:rPr>
      <w:vertAlign w:val="superscript"/>
    </w:rPr>
  </w:style>
  <w:style w:type="table" w:styleId="GridTable4-Accent3">
    <w:name w:val="Grid Table 4 Accent 3"/>
    <w:basedOn w:val="TableNormal"/>
    <w:uiPriority w:val="49"/>
    <w:rsid w:val="00393CB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393CB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ntstyle01">
    <w:name w:val="fontstyle01"/>
    <w:basedOn w:val="DefaultParagraphFont"/>
    <w:rsid w:val="00160FD7"/>
    <w:rPr>
      <w:rFonts w:ascii="ArialMT" w:hAnsi="ArialMT" w:hint="default"/>
      <w:b w:val="0"/>
      <w:bCs w:val="0"/>
      <w:i w:val="0"/>
      <w:iCs w:val="0"/>
      <w:color w:val="000000"/>
      <w:sz w:val="20"/>
      <w:szCs w:val="20"/>
    </w:rPr>
  </w:style>
  <w:style w:type="table" w:customStyle="1" w:styleId="TableGrid2">
    <w:name w:val="Table Grid2"/>
    <w:basedOn w:val="TableNormal"/>
    <w:next w:val="TableGrid"/>
    <w:uiPriority w:val="39"/>
    <w:rsid w:val="00A528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10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ommentTextChar">
    <w:name w:val="Comment Text Char"/>
    <w:basedOn w:val="DefaultParagraphFont"/>
    <w:link w:val="CommentText"/>
    <w:uiPriority w:val="99"/>
    <w:semiHidden/>
    <w:rsid w:val="000752C0"/>
  </w:style>
  <w:style w:type="paragraph" w:customStyle="1" w:styleId="li">
    <w:name w:val="li"/>
    <w:basedOn w:val="Normal"/>
    <w:rsid w:val="003561DE"/>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DE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220">
      <w:bodyDiv w:val="1"/>
      <w:marLeft w:val="0"/>
      <w:marRight w:val="0"/>
      <w:marTop w:val="0"/>
      <w:marBottom w:val="0"/>
      <w:divBdr>
        <w:top w:val="none" w:sz="0" w:space="0" w:color="auto"/>
        <w:left w:val="none" w:sz="0" w:space="0" w:color="auto"/>
        <w:bottom w:val="none" w:sz="0" w:space="0" w:color="auto"/>
        <w:right w:val="none" w:sz="0" w:space="0" w:color="auto"/>
      </w:divBdr>
    </w:div>
    <w:div w:id="71853993">
      <w:bodyDiv w:val="1"/>
      <w:marLeft w:val="0"/>
      <w:marRight w:val="0"/>
      <w:marTop w:val="0"/>
      <w:marBottom w:val="0"/>
      <w:divBdr>
        <w:top w:val="none" w:sz="0" w:space="0" w:color="auto"/>
        <w:left w:val="none" w:sz="0" w:space="0" w:color="auto"/>
        <w:bottom w:val="none" w:sz="0" w:space="0" w:color="auto"/>
        <w:right w:val="none" w:sz="0" w:space="0" w:color="auto"/>
      </w:divBdr>
    </w:div>
    <w:div w:id="74477713">
      <w:bodyDiv w:val="1"/>
      <w:marLeft w:val="0"/>
      <w:marRight w:val="0"/>
      <w:marTop w:val="0"/>
      <w:marBottom w:val="0"/>
      <w:divBdr>
        <w:top w:val="none" w:sz="0" w:space="0" w:color="auto"/>
        <w:left w:val="none" w:sz="0" w:space="0" w:color="auto"/>
        <w:bottom w:val="none" w:sz="0" w:space="0" w:color="auto"/>
        <w:right w:val="none" w:sz="0" w:space="0" w:color="auto"/>
      </w:divBdr>
    </w:div>
    <w:div w:id="99495839">
      <w:bodyDiv w:val="1"/>
      <w:marLeft w:val="0"/>
      <w:marRight w:val="0"/>
      <w:marTop w:val="0"/>
      <w:marBottom w:val="0"/>
      <w:divBdr>
        <w:top w:val="none" w:sz="0" w:space="0" w:color="auto"/>
        <w:left w:val="none" w:sz="0" w:space="0" w:color="auto"/>
        <w:bottom w:val="none" w:sz="0" w:space="0" w:color="auto"/>
        <w:right w:val="none" w:sz="0" w:space="0" w:color="auto"/>
      </w:divBdr>
    </w:div>
    <w:div w:id="204564152">
      <w:bodyDiv w:val="1"/>
      <w:marLeft w:val="0"/>
      <w:marRight w:val="0"/>
      <w:marTop w:val="0"/>
      <w:marBottom w:val="0"/>
      <w:divBdr>
        <w:top w:val="none" w:sz="0" w:space="0" w:color="auto"/>
        <w:left w:val="none" w:sz="0" w:space="0" w:color="auto"/>
        <w:bottom w:val="none" w:sz="0" w:space="0" w:color="auto"/>
        <w:right w:val="none" w:sz="0" w:space="0" w:color="auto"/>
      </w:divBdr>
    </w:div>
    <w:div w:id="231935106">
      <w:bodyDiv w:val="1"/>
      <w:marLeft w:val="0"/>
      <w:marRight w:val="0"/>
      <w:marTop w:val="0"/>
      <w:marBottom w:val="0"/>
      <w:divBdr>
        <w:top w:val="none" w:sz="0" w:space="0" w:color="auto"/>
        <w:left w:val="none" w:sz="0" w:space="0" w:color="auto"/>
        <w:bottom w:val="none" w:sz="0" w:space="0" w:color="auto"/>
        <w:right w:val="none" w:sz="0" w:space="0" w:color="auto"/>
      </w:divBdr>
      <w:divsChild>
        <w:div w:id="234244418">
          <w:marLeft w:val="187"/>
          <w:marRight w:val="0"/>
          <w:marTop w:val="0"/>
          <w:marBottom w:val="0"/>
          <w:divBdr>
            <w:top w:val="none" w:sz="0" w:space="0" w:color="auto"/>
            <w:left w:val="none" w:sz="0" w:space="0" w:color="auto"/>
            <w:bottom w:val="none" w:sz="0" w:space="0" w:color="auto"/>
            <w:right w:val="none" w:sz="0" w:space="0" w:color="auto"/>
          </w:divBdr>
        </w:div>
        <w:div w:id="236793741">
          <w:marLeft w:val="187"/>
          <w:marRight w:val="0"/>
          <w:marTop w:val="0"/>
          <w:marBottom w:val="0"/>
          <w:divBdr>
            <w:top w:val="none" w:sz="0" w:space="0" w:color="auto"/>
            <w:left w:val="none" w:sz="0" w:space="0" w:color="auto"/>
            <w:bottom w:val="none" w:sz="0" w:space="0" w:color="auto"/>
            <w:right w:val="none" w:sz="0" w:space="0" w:color="auto"/>
          </w:divBdr>
        </w:div>
        <w:div w:id="1653018078">
          <w:marLeft w:val="187"/>
          <w:marRight w:val="0"/>
          <w:marTop w:val="0"/>
          <w:marBottom w:val="0"/>
          <w:divBdr>
            <w:top w:val="none" w:sz="0" w:space="0" w:color="auto"/>
            <w:left w:val="none" w:sz="0" w:space="0" w:color="auto"/>
            <w:bottom w:val="none" w:sz="0" w:space="0" w:color="auto"/>
            <w:right w:val="none" w:sz="0" w:space="0" w:color="auto"/>
          </w:divBdr>
        </w:div>
      </w:divsChild>
    </w:div>
    <w:div w:id="400905834">
      <w:bodyDiv w:val="1"/>
      <w:marLeft w:val="0"/>
      <w:marRight w:val="0"/>
      <w:marTop w:val="0"/>
      <w:marBottom w:val="0"/>
      <w:divBdr>
        <w:top w:val="none" w:sz="0" w:space="0" w:color="auto"/>
        <w:left w:val="none" w:sz="0" w:space="0" w:color="auto"/>
        <w:bottom w:val="none" w:sz="0" w:space="0" w:color="auto"/>
        <w:right w:val="none" w:sz="0" w:space="0" w:color="auto"/>
      </w:divBdr>
    </w:div>
    <w:div w:id="424768614">
      <w:bodyDiv w:val="1"/>
      <w:marLeft w:val="0"/>
      <w:marRight w:val="0"/>
      <w:marTop w:val="0"/>
      <w:marBottom w:val="0"/>
      <w:divBdr>
        <w:top w:val="none" w:sz="0" w:space="0" w:color="auto"/>
        <w:left w:val="none" w:sz="0" w:space="0" w:color="auto"/>
        <w:bottom w:val="none" w:sz="0" w:space="0" w:color="auto"/>
        <w:right w:val="none" w:sz="0" w:space="0" w:color="auto"/>
      </w:divBdr>
    </w:div>
    <w:div w:id="507670662">
      <w:bodyDiv w:val="1"/>
      <w:marLeft w:val="0"/>
      <w:marRight w:val="0"/>
      <w:marTop w:val="0"/>
      <w:marBottom w:val="0"/>
      <w:divBdr>
        <w:top w:val="none" w:sz="0" w:space="0" w:color="auto"/>
        <w:left w:val="none" w:sz="0" w:space="0" w:color="auto"/>
        <w:bottom w:val="none" w:sz="0" w:space="0" w:color="auto"/>
        <w:right w:val="none" w:sz="0" w:space="0" w:color="auto"/>
      </w:divBdr>
    </w:div>
    <w:div w:id="525561439">
      <w:bodyDiv w:val="1"/>
      <w:marLeft w:val="0"/>
      <w:marRight w:val="0"/>
      <w:marTop w:val="0"/>
      <w:marBottom w:val="0"/>
      <w:divBdr>
        <w:top w:val="none" w:sz="0" w:space="0" w:color="auto"/>
        <w:left w:val="none" w:sz="0" w:space="0" w:color="auto"/>
        <w:bottom w:val="none" w:sz="0" w:space="0" w:color="auto"/>
        <w:right w:val="none" w:sz="0" w:space="0" w:color="auto"/>
      </w:divBdr>
      <w:divsChild>
        <w:div w:id="356543454">
          <w:marLeft w:val="187"/>
          <w:marRight w:val="0"/>
          <w:marTop w:val="0"/>
          <w:marBottom w:val="0"/>
          <w:divBdr>
            <w:top w:val="none" w:sz="0" w:space="0" w:color="auto"/>
            <w:left w:val="none" w:sz="0" w:space="0" w:color="auto"/>
            <w:bottom w:val="none" w:sz="0" w:space="0" w:color="auto"/>
            <w:right w:val="none" w:sz="0" w:space="0" w:color="auto"/>
          </w:divBdr>
        </w:div>
        <w:div w:id="1423913024">
          <w:marLeft w:val="187"/>
          <w:marRight w:val="0"/>
          <w:marTop w:val="0"/>
          <w:marBottom w:val="0"/>
          <w:divBdr>
            <w:top w:val="none" w:sz="0" w:space="0" w:color="auto"/>
            <w:left w:val="none" w:sz="0" w:space="0" w:color="auto"/>
            <w:bottom w:val="none" w:sz="0" w:space="0" w:color="auto"/>
            <w:right w:val="none" w:sz="0" w:space="0" w:color="auto"/>
          </w:divBdr>
        </w:div>
        <w:div w:id="1787843752">
          <w:marLeft w:val="187"/>
          <w:marRight w:val="0"/>
          <w:marTop w:val="0"/>
          <w:marBottom w:val="0"/>
          <w:divBdr>
            <w:top w:val="none" w:sz="0" w:space="0" w:color="auto"/>
            <w:left w:val="none" w:sz="0" w:space="0" w:color="auto"/>
            <w:bottom w:val="none" w:sz="0" w:space="0" w:color="auto"/>
            <w:right w:val="none" w:sz="0" w:space="0" w:color="auto"/>
          </w:divBdr>
        </w:div>
        <w:div w:id="2092652851">
          <w:marLeft w:val="187"/>
          <w:marRight w:val="0"/>
          <w:marTop w:val="0"/>
          <w:marBottom w:val="0"/>
          <w:divBdr>
            <w:top w:val="none" w:sz="0" w:space="0" w:color="auto"/>
            <w:left w:val="none" w:sz="0" w:space="0" w:color="auto"/>
            <w:bottom w:val="none" w:sz="0" w:space="0" w:color="auto"/>
            <w:right w:val="none" w:sz="0" w:space="0" w:color="auto"/>
          </w:divBdr>
        </w:div>
      </w:divsChild>
    </w:div>
    <w:div w:id="531302844">
      <w:bodyDiv w:val="1"/>
      <w:marLeft w:val="0"/>
      <w:marRight w:val="0"/>
      <w:marTop w:val="150"/>
      <w:marBottom w:val="0"/>
      <w:divBdr>
        <w:top w:val="none" w:sz="0" w:space="0" w:color="auto"/>
        <w:left w:val="none" w:sz="0" w:space="0" w:color="auto"/>
        <w:bottom w:val="none" w:sz="0" w:space="0" w:color="auto"/>
        <w:right w:val="none" w:sz="0" w:space="0" w:color="auto"/>
      </w:divBdr>
      <w:divsChild>
        <w:div w:id="494691336">
          <w:marLeft w:val="0"/>
          <w:marRight w:val="0"/>
          <w:marTop w:val="0"/>
          <w:marBottom w:val="0"/>
          <w:divBdr>
            <w:top w:val="none" w:sz="0" w:space="0" w:color="auto"/>
            <w:left w:val="none" w:sz="0" w:space="0" w:color="auto"/>
            <w:bottom w:val="none" w:sz="0" w:space="0" w:color="auto"/>
            <w:right w:val="none" w:sz="0" w:space="0" w:color="auto"/>
          </w:divBdr>
          <w:divsChild>
            <w:div w:id="1071923802">
              <w:marLeft w:val="0"/>
              <w:marRight w:val="0"/>
              <w:marTop w:val="0"/>
              <w:marBottom w:val="0"/>
              <w:divBdr>
                <w:top w:val="none" w:sz="0" w:space="0" w:color="auto"/>
                <w:left w:val="none" w:sz="0" w:space="0" w:color="auto"/>
                <w:bottom w:val="none" w:sz="0" w:space="0" w:color="auto"/>
                <w:right w:val="none" w:sz="0" w:space="0" w:color="auto"/>
              </w:divBdr>
              <w:divsChild>
                <w:div w:id="333726139">
                  <w:marLeft w:val="0"/>
                  <w:marRight w:val="0"/>
                  <w:marTop w:val="0"/>
                  <w:marBottom w:val="0"/>
                  <w:divBdr>
                    <w:top w:val="none" w:sz="0" w:space="0" w:color="auto"/>
                    <w:left w:val="none" w:sz="0" w:space="0" w:color="auto"/>
                    <w:bottom w:val="none" w:sz="0" w:space="0" w:color="auto"/>
                    <w:right w:val="none" w:sz="0" w:space="0" w:color="auto"/>
                  </w:divBdr>
                  <w:divsChild>
                    <w:div w:id="1077747551">
                      <w:marLeft w:val="0"/>
                      <w:marRight w:val="0"/>
                      <w:marTop w:val="0"/>
                      <w:marBottom w:val="0"/>
                      <w:divBdr>
                        <w:top w:val="none" w:sz="0" w:space="0" w:color="auto"/>
                        <w:left w:val="none" w:sz="0" w:space="0" w:color="auto"/>
                        <w:bottom w:val="none" w:sz="0" w:space="0" w:color="auto"/>
                        <w:right w:val="none" w:sz="0" w:space="0" w:color="auto"/>
                      </w:divBdr>
                      <w:divsChild>
                        <w:div w:id="822085674">
                          <w:marLeft w:val="0"/>
                          <w:marRight w:val="0"/>
                          <w:marTop w:val="0"/>
                          <w:marBottom w:val="0"/>
                          <w:divBdr>
                            <w:top w:val="none" w:sz="0" w:space="0" w:color="auto"/>
                            <w:left w:val="none" w:sz="0" w:space="0" w:color="auto"/>
                            <w:bottom w:val="none" w:sz="0" w:space="0" w:color="auto"/>
                            <w:right w:val="none" w:sz="0" w:space="0" w:color="auto"/>
                          </w:divBdr>
                          <w:divsChild>
                            <w:div w:id="156381912">
                              <w:marLeft w:val="0"/>
                              <w:marRight w:val="0"/>
                              <w:marTop w:val="0"/>
                              <w:marBottom w:val="0"/>
                              <w:divBdr>
                                <w:top w:val="none" w:sz="0" w:space="0" w:color="auto"/>
                                <w:left w:val="none" w:sz="0" w:space="0" w:color="auto"/>
                                <w:bottom w:val="none" w:sz="0" w:space="0" w:color="auto"/>
                                <w:right w:val="none" w:sz="0" w:space="0" w:color="auto"/>
                              </w:divBdr>
                            </w:div>
                            <w:div w:id="598375639">
                              <w:marLeft w:val="0"/>
                              <w:marRight w:val="0"/>
                              <w:marTop w:val="0"/>
                              <w:marBottom w:val="0"/>
                              <w:divBdr>
                                <w:top w:val="none" w:sz="0" w:space="0" w:color="auto"/>
                                <w:left w:val="none" w:sz="0" w:space="0" w:color="auto"/>
                                <w:bottom w:val="none" w:sz="0" w:space="0" w:color="auto"/>
                                <w:right w:val="none" w:sz="0" w:space="0" w:color="auto"/>
                              </w:divBdr>
                            </w:div>
                            <w:div w:id="1223636327">
                              <w:marLeft w:val="0"/>
                              <w:marRight w:val="0"/>
                              <w:marTop w:val="0"/>
                              <w:marBottom w:val="0"/>
                              <w:divBdr>
                                <w:top w:val="none" w:sz="0" w:space="0" w:color="auto"/>
                                <w:left w:val="none" w:sz="0" w:space="0" w:color="auto"/>
                                <w:bottom w:val="none" w:sz="0" w:space="0" w:color="auto"/>
                                <w:right w:val="none" w:sz="0" w:space="0" w:color="auto"/>
                              </w:divBdr>
                            </w:div>
                            <w:div w:id="1294939732">
                              <w:marLeft w:val="0"/>
                              <w:marRight w:val="0"/>
                              <w:marTop w:val="0"/>
                              <w:marBottom w:val="0"/>
                              <w:divBdr>
                                <w:top w:val="none" w:sz="0" w:space="0" w:color="auto"/>
                                <w:left w:val="none" w:sz="0" w:space="0" w:color="auto"/>
                                <w:bottom w:val="none" w:sz="0" w:space="0" w:color="auto"/>
                                <w:right w:val="none" w:sz="0" w:space="0" w:color="auto"/>
                              </w:divBdr>
                            </w:div>
                            <w:div w:id="1487817157">
                              <w:marLeft w:val="0"/>
                              <w:marRight w:val="0"/>
                              <w:marTop w:val="0"/>
                              <w:marBottom w:val="0"/>
                              <w:divBdr>
                                <w:top w:val="none" w:sz="0" w:space="0" w:color="auto"/>
                                <w:left w:val="none" w:sz="0" w:space="0" w:color="auto"/>
                                <w:bottom w:val="none" w:sz="0" w:space="0" w:color="auto"/>
                                <w:right w:val="none" w:sz="0" w:space="0" w:color="auto"/>
                              </w:divBdr>
                            </w:div>
                            <w:div w:id="18567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404">
      <w:bodyDiv w:val="1"/>
      <w:marLeft w:val="0"/>
      <w:marRight w:val="0"/>
      <w:marTop w:val="0"/>
      <w:marBottom w:val="0"/>
      <w:divBdr>
        <w:top w:val="none" w:sz="0" w:space="0" w:color="auto"/>
        <w:left w:val="none" w:sz="0" w:space="0" w:color="auto"/>
        <w:bottom w:val="none" w:sz="0" w:space="0" w:color="auto"/>
        <w:right w:val="none" w:sz="0" w:space="0" w:color="auto"/>
      </w:divBdr>
    </w:div>
    <w:div w:id="576746072">
      <w:bodyDiv w:val="1"/>
      <w:marLeft w:val="0"/>
      <w:marRight w:val="0"/>
      <w:marTop w:val="0"/>
      <w:marBottom w:val="0"/>
      <w:divBdr>
        <w:top w:val="none" w:sz="0" w:space="0" w:color="auto"/>
        <w:left w:val="none" w:sz="0" w:space="0" w:color="auto"/>
        <w:bottom w:val="none" w:sz="0" w:space="0" w:color="auto"/>
        <w:right w:val="none" w:sz="0" w:space="0" w:color="auto"/>
      </w:divBdr>
    </w:div>
    <w:div w:id="577519812">
      <w:bodyDiv w:val="1"/>
      <w:marLeft w:val="0"/>
      <w:marRight w:val="0"/>
      <w:marTop w:val="0"/>
      <w:marBottom w:val="0"/>
      <w:divBdr>
        <w:top w:val="none" w:sz="0" w:space="0" w:color="auto"/>
        <w:left w:val="none" w:sz="0" w:space="0" w:color="auto"/>
        <w:bottom w:val="none" w:sz="0" w:space="0" w:color="auto"/>
        <w:right w:val="none" w:sz="0" w:space="0" w:color="auto"/>
      </w:divBdr>
    </w:div>
    <w:div w:id="642079200">
      <w:bodyDiv w:val="1"/>
      <w:marLeft w:val="0"/>
      <w:marRight w:val="0"/>
      <w:marTop w:val="0"/>
      <w:marBottom w:val="0"/>
      <w:divBdr>
        <w:top w:val="none" w:sz="0" w:space="0" w:color="auto"/>
        <w:left w:val="none" w:sz="0" w:space="0" w:color="auto"/>
        <w:bottom w:val="none" w:sz="0" w:space="0" w:color="auto"/>
        <w:right w:val="none" w:sz="0" w:space="0" w:color="auto"/>
      </w:divBdr>
    </w:div>
    <w:div w:id="735520035">
      <w:bodyDiv w:val="1"/>
      <w:marLeft w:val="0"/>
      <w:marRight w:val="0"/>
      <w:marTop w:val="0"/>
      <w:marBottom w:val="0"/>
      <w:divBdr>
        <w:top w:val="none" w:sz="0" w:space="0" w:color="auto"/>
        <w:left w:val="none" w:sz="0" w:space="0" w:color="auto"/>
        <w:bottom w:val="none" w:sz="0" w:space="0" w:color="auto"/>
        <w:right w:val="none" w:sz="0" w:space="0" w:color="auto"/>
      </w:divBdr>
    </w:div>
    <w:div w:id="767504704">
      <w:bodyDiv w:val="1"/>
      <w:marLeft w:val="0"/>
      <w:marRight w:val="0"/>
      <w:marTop w:val="0"/>
      <w:marBottom w:val="0"/>
      <w:divBdr>
        <w:top w:val="none" w:sz="0" w:space="0" w:color="auto"/>
        <w:left w:val="none" w:sz="0" w:space="0" w:color="auto"/>
        <w:bottom w:val="none" w:sz="0" w:space="0" w:color="auto"/>
        <w:right w:val="none" w:sz="0" w:space="0" w:color="auto"/>
      </w:divBdr>
    </w:div>
    <w:div w:id="767576507">
      <w:bodyDiv w:val="1"/>
      <w:marLeft w:val="0"/>
      <w:marRight w:val="0"/>
      <w:marTop w:val="0"/>
      <w:marBottom w:val="0"/>
      <w:divBdr>
        <w:top w:val="none" w:sz="0" w:space="0" w:color="auto"/>
        <w:left w:val="none" w:sz="0" w:space="0" w:color="auto"/>
        <w:bottom w:val="none" w:sz="0" w:space="0" w:color="auto"/>
        <w:right w:val="none" w:sz="0" w:space="0" w:color="auto"/>
      </w:divBdr>
      <w:divsChild>
        <w:div w:id="608241073">
          <w:marLeft w:val="187"/>
          <w:marRight w:val="0"/>
          <w:marTop w:val="0"/>
          <w:marBottom w:val="0"/>
          <w:divBdr>
            <w:top w:val="none" w:sz="0" w:space="0" w:color="auto"/>
            <w:left w:val="none" w:sz="0" w:space="0" w:color="auto"/>
            <w:bottom w:val="none" w:sz="0" w:space="0" w:color="auto"/>
            <w:right w:val="none" w:sz="0" w:space="0" w:color="auto"/>
          </w:divBdr>
        </w:div>
        <w:div w:id="954219256">
          <w:marLeft w:val="187"/>
          <w:marRight w:val="0"/>
          <w:marTop w:val="0"/>
          <w:marBottom w:val="0"/>
          <w:divBdr>
            <w:top w:val="none" w:sz="0" w:space="0" w:color="auto"/>
            <w:left w:val="none" w:sz="0" w:space="0" w:color="auto"/>
            <w:bottom w:val="none" w:sz="0" w:space="0" w:color="auto"/>
            <w:right w:val="none" w:sz="0" w:space="0" w:color="auto"/>
          </w:divBdr>
        </w:div>
        <w:div w:id="962343667">
          <w:marLeft w:val="187"/>
          <w:marRight w:val="0"/>
          <w:marTop w:val="0"/>
          <w:marBottom w:val="0"/>
          <w:divBdr>
            <w:top w:val="none" w:sz="0" w:space="0" w:color="auto"/>
            <w:left w:val="none" w:sz="0" w:space="0" w:color="auto"/>
            <w:bottom w:val="none" w:sz="0" w:space="0" w:color="auto"/>
            <w:right w:val="none" w:sz="0" w:space="0" w:color="auto"/>
          </w:divBdr>
        </w:div>
        <w:div w:id="1056319988">
          <w:marLeft w:val="187"/>
          <w:marRight w:val="0"/>
          <w:marTop w:val="0"/>
          <w:marBottom w:val="0"/>
          <w:divBdr>
            <w:top w:val="none" w:sz="0" w:space="0" w:color="auto"/>
            <w:left w:val="none" w:sz="0" w:space="0" w:color="auto"/>
            <w:bottom w:val="none" w:sz="0" w:space="0" w:color="auto"/>
            <w:right w:val="none" w:sz="0" w:space="0" w:color="auto"/>
          </w:divBdr>
        </w:div>
        <w:div w:id="1205367714">
          <w:marLeft w:val="187"/>
          <w:marRight w:val="0"/>
          <w:marTop w:val="0"/>
          <w:marBottom w:val="0"/>
          <w:divBdr>
            <w:top w:val="none" w:sz="0" w:space="0" w:color="auto"/>
            <w:left w:val="none" w:sz="0" w:space="0" w:color="auto"/>
            <w:bottom w:val="none" w:sz="0" w:space="0" w:color="auto"/>
            <w:right w:val="none" w:sz="0" w:space="0" w:color="auto"/>
          </w:divBdr>
        </w:div>
        <w:div w:id="1522620130">
          <w:marLeft w:val="187"/>
          <w:marRight w:val="0"/>
          <w:marTop w:val="0"/>
          <w:marBottom w:val="0"/>
          <w:divBdr>
            <w:top w:val="none" w:sz="0" w:space="0" w:color="auto"/>
            <w:left w:val="none" w:sz="0" w:space="0" w:color="auto"/>
            <w:bottom w:val="none" w:sz="0" w:space="0" w:color="auto"/>
            <w:right w:val="none" w:sz="0" w:space="0" w:color="auto"/>
          </w:divBdr>
        </w:div>
        <w:div w:id="1764378525">
          <w:marLeft w:val="187"/>
          <w:marRight w:val="0"/>
          <w:marTop w:val="0"/>
          <w:marBottom w:val="0"/>
          <w:divBdr>
            <w:top w:val="none" w:sz="0" w:space="0" w:color="auto"/>
            <w:left w:val="none" w:sz="0" w:space="0" w:color="auto"/>
            <w:bottom w:val="none" w:sz="0" w:space="0" w:color="auto"/>
            <w:right w:val="none" w:sz="0" w:space="0" w:color="auto"/>
          </w:divBdr>
        </w:div>
        <w:div w:id="1778015344">
          <w:marLeft w:val="187"/>
          <w:marRight w:val="0"/>
          <w:marTop w:val="0"/>
          <w:marBottom w:val="0"/>
          <w:divBdr>
            <w:top w:val="none" w:sz="0" w:space="0" w:color="auto"/>
            <w:left w:val="none" w:sz="0" w:space="0" w:color="auto"/>
            <w:bottom w:val="none" w:sz="0" w:space="0" w:color="auto"/>
            <w:right w:val="none" w:sz="0" w:space="0" w:color="auto"/>
          </w:divBdr>
        </w:div>
        <w:div w:id="2036156553">
          <w:marLeft w:val="187"/>
          <w:marRight w:val="0"/>
          <w:marTop w:val="0"/>
          <w:marBottom w:val="0"/>
          <w:divBdr>
            <w:top w:val="none" w:sz="0" w:space="0" w:color="auto"/>
            <w:left w:val="none" w:sz="0" w:space="0" w:color="auto"/>
            <w:bottom w:val="none" w:sz="0" w:space="0" w:color="auto"/>
            <w:right w:val="none" w:sz="0" w:space="0" w:color="auto"/>
          </w:divBdr>
        </w:div>
      </w:divsChild>
    </w:div>
    <w:div w:id="879172369">
      <w:bodyDiv w:val="1"/>
      <w:marLeft w:val="0"/>
      <w:marRight w:val="0"/>
      <w:marTop w:val="0"/>
      <w:marBottom w:val="0"/>
      <w:divBdr>
        <w:top w:val="none" w:sz="0" w:space="0" w:color="auto"/>
        <w:left w:val="none" w:sz="0" w:space="0" w:color="auto"/>
        <w:bottom w:val="none" w:sz="0" w:space="0" w:color="auto"/>
        <w:right w:val="none" w:sz="0" w:space="0" w:color="auto"/>
      </w:divBdr>
      <w:divsChild>
        <w:div w:id="701252154">
          <w:marLeft w:val="187"/>
          <w:marRight w:val="0"/>
          <w:marTop w:val="0"/>
          <w:marBottom w:val="0"/>
          <w:divBdr>
            <w:top w:val="none" w:sz="0" w:space="0" w:color="auto"/>
            <w:left w:val="none" w:sz="0" w:space="0" w:color="auto"/>
            <w:bottom w:val="none" w:sz="0" w:space="0" w:color="auto"/>
            <w:right w:val="none" w:sz="0" w:space="0" w:color="auto"/>
          </w:divBdr>
        </w:div>
        <w:div w:id="789517822">
          <w:marLeft w:val="187"/>
          <w:marRight w:val="0"/>
          <w:marTop w:val="0"/>
          <w:marBottom w:val="0"/>
          <w:divBdr>
            <w:top w:val="none" w:sz="0" w:space="0" w:color="auto"/>
            <w:left w:val="none" w:sz="0" w:space="0" w:color="auto"/>
            <w:bottom w:val="none" w:sz="0" w:space="0" w:color="auto"/>
            <w:right w:val="none" w:sz="0" w:space="0" w:color="auto"/>
          </w:divBdr>
        </w:div>
      </w:divsChild>
    </w:div>
    <w:div w:id="880897213">
      <w:bodyDiv w:val="1"/>
      <w:marLeft w:val="0"/>
      <w:marRight w:val="0"/>
      <w:marTop w:val="0"/>
      <w:marBottom w:val="0"/>
      <w:divBdr>
        <w:top w:val="none" w:sz="0" w:space="0" w:color="auto"/>
        <w:left w:val="none" w:sz="0" w:space="0" w:color="auto"/>
        <w:bottom w:val="none" w:sz="0" w:space="0" w:color="auto"/>
        <w:right w:val="none" w:sz="0" w:space="0" w:color="auto"/>
      </w:divBdr>
    </w:div>
    <w:div w:id="884875378">
      <w:bodyDiv w:val="1"/>
      <w:marLeft w:val="0"/>
      <w:marRight w:val="0"/>
      <w:marTop w:val="0"/>
      <w:marBottom w:val="0"/>
      <w:divBdr>
        <w:top w:val="none" w:sz="0" w:space="0" w:color="auto"/>
        <w:left w:val="none" w:sz="0" w:space="0" w:color="auto"/>
        <w:bottom w:val="none" w:sz="0" w:space="0" w:color="auto"/>
        <w:right w:val="none" w:sz="0" w:space="0" w:color="auto"/>
      </w:divBdr>
    </w:div>
    <w:div w:id="1013217116">
      <w:bodyDiv w:val="1"/>
      <w:marLeft w:val="0"/>
      <w:marRight w:val="0"/>
      <w:marTop w:val="0"/>
      <w:marBottom w:val="0"/>
      <w:divBdr>
        <w:top w:val="none" w:sz="0" w:space="0" w:color="auto"/>
        <w:left w:val="none" w:sz="0" w:space="0" w:color="auto"/>
        <w:bottom w:val="none" w:sz="0" w:space="0" w:color="auto"/>
        <w:right w:val="none" w:sz="0" w:space="0" w:color="auto"/>
      </w:divBdr>
    </w:div>
    <w:div w:id="1064833641">
      <w:bodyDiv w:val="1"/>
      <w:marLeft w:val="0"/>
      <w:marRight w:val="0"/>
      <w:marTop w:val="0"/>
      <w:marBottom w:val="0"/>
      <w:divBdr>
        <w:top w:val="none" w:sz="0" w:space="0" w:color="auto"/>
        <w:left w:val="none" w:sz="0" w:space="0" w:color="auto"/>
        <w:bottom w:val="none" w:sz="0" w:space="0" w:color="auto"/>
        <w:right w:val="none" w:sz="0" w:space="0" w:color="auto"/>
      </w:divBdr>
    </w:div>
    <w:div w:id="1140996925">
      <w:bodyDiv w:val="1"/>
      <w:marLeft w:val="0"/>
      <w:marRight w:val="0"/>
      <w:marTop w:val="0"/>
      <w:marBottom w:val="0"/>
      <w:divBdr>
        <w:top w:val="none" w:sz="0" w:space="0" w:color="auto"/>
        <w:left w:val="none" w:sz="0" w:space="0" w:color="auto"/>
        <w:bottom w:val="none" w:sz="0" w:space="0" w:color="auto"/>
        <w:right w:val="none" w:sz="0" w:space="0" w:color="auto"/>
      </w:divBdr>
    </w:div>
    <w:div w:id="1237201995">
      <w:bodyDiv w:val="1"/>
      <w:marLeft w:val="0"/>
      <w:marRight w:val="0"/>
      <w:marTop w:val="0"/>
      <w:marBottom w:val="0"/>
      <w:divBdr>
        <w:top w:val="none" w:sz="0" w:space="0" w:color="auto"/>
        <w:left w:val="none" w:sz="0" w:space="0" w:color="auto"/>
        <w:bottom w:val="none" w:sz="0" w:space="0" w:color="auto"/>
        <w:right w:val="none" w:sz="0" w:space="0" w:color="auto"/>
      </w:divBdr>
    </w:div>
    <w:div w:id="1261643402">
      <w:bodyDiv w:val="1"/>
      <w:marLeft w:val="0"/>
      <w:marRight w:val="0"/>
      <w:marTop w:val="0"/>
      <w:marBottom w:val="0"/>
      <w:divBdr>
        <w:top w:val="none" w:sz="0" w:space="0" w:color="auto"/>
        <w:left w:val="none" w:sz="0" w:space="0" w:color="auto"/>
        <w:bottom w:val="none" w:sz="0" w:space="0" w:color="auto"/>
        <w:right w:val="none" w:sz="0" w:space="0" w:color="auto"/>
      </w:divBdr>
    </w:div>
    <w:div w:id="1276249061">
      <w:bodyDiv w:val="1"/>
      <w:marLeft w:val="0"/>
      <w:marRight w:val="0"/>
      <w:marTop w:val="0"/>
      <w:marBottom w:val="0"/>
      <w:divBdr>
        <w:top w:val="none" w:sz="0" w:space="0" w:color="auto"/>
        <w:left w:val="none" w:sz="0" w:space="0" w:color="auto"/>
        <w:bottom w:val="none" w:sz="0" w:space="0" w:color="auto"/>
        <w:right w:val="none" w:sz="0" w:space="0" w:color="auto"/>
      </w:divBdr>
    </w:div>
    <w:div w:id="1312248100">
      <w:bodyDiv w:val="1"/>
      <w:marLeft w:val="0"/>
      <w:marRight w:val="0"/>
      <w:marTop w:val="0"/>
      <w:marBottom w:val="0"/>
      <w:divBdr>
        <w:top w:val="none" w:sz="0" w:space="0" w:color="auto"/>
        <w:left w:val="none" w:sz="0" w:space="0" w:color="auto"/>
        <w:bottom w:val="none" w:sz="0" w:space="0" w:color="auto"/>
        <w:right w:val="none" w:sz="0" w:space="0" w:color="auto"/>
      </w:divBdr>
    </w:div>
    <w:div w:id="1324702677">
      <w:bodyDiv w:val="1"/>
      <w:marLeft w:val="0"/>
      <w:marRight w:val="0"/>
      <w:marTop w:val="0"/>
      <w:marBottom w:val="0"/>
      <w:divBdr>
        <w:top w:val="none" w:sz="0" w:space="0" w:color="auto"/>
        <w:left w:val="none" w:sz="0" w:space="0" w:color="auto"/>
        <w:bottom w:val="none" w:sz="0" w:space="0" w:color="auto"/>
        <w:right w:val="none" w:sz="0" w:space="0" w:color="auto"/>
      </w:divBdr>
    </w:div>
    <w:div w:id="1339962803">
      <w:bodyDiv w:val="1"/>
      <w:marLeft w:val="0"/>
      <w:marRight w:val="0"/>
      <w:marTop w:val="0"/>
      <w:marBottom w:val="0"/>
      <w:divBdr>
        <w:top w:val="none" w:sz="0" w:space="0" w:color="auto"/>
        <w:left w:val="none" w:sz="0" w:space="0" w:color="auto"/>
        <w:bottom w:val="none" w:sz="0" w:space="0" w:color="auto"/>
        <w:right w:val="none" w:sz="0" w:space="0" w:color="auto"/>
      </w:divBdr>
    </w:div>
    <w:div w:id="1341851132">
      <w:bodyDiv w:val="1"/>
      <w:marLeft w:val="0"/>
      <w:marRight w:val="0"/>
      <w:marTop w:val="0"/>
      <w:marBottom w:val="0"/>
      <w:divBdr>
        <w:top w:val="none" w:sz="0" w:space="0" w:color="auto"/>
        <w:left w:val="none" w:sz="0" w:space="0" w:color="auto"/>
        <w:bottom w:val="none" w:sz="0" w:space="0" w:color="auto"/>
        <w:right w:val="none" w:sz="0" w:space="0" w:color="auto"/>
      </w:divBdr>
    </w:div>
    <w:div w:id="1396970278">
      <w:bodyDiv w:val="1"/>
      <w:marLeft w:val="0"/>
      <w:marRight w:val="0"/>
      <w:marTop w:val="150"/>
      <w:marBottom w:val="0"/>
      <w:divBdr>
        <w:top w:val="none" w:sz="0" w:space="0" w:color="auto"/>
        <w:left w:val="none" w:sz="0" w:space="0" w:color="auto"/>
        <w:bottom w:val="none" w:sz="0" w:space="0" w:color="auto"/>
        <w:right w:val="none" w:sz="0" w:space="0" w:color="auto"/>
      </w:divBdr>
      <w:divsChild>
        <w:div w:id="339821495">
          <w:marLeft w:val="0"/>
          <w:marRight w:val="0"/>
          <w:marTop w:val="0"/>
          <w:marBottom w:val="0"/>
          <w:divBdr>
            <w:top w:val="none" w:sz="0" w:space="0" w:color="auto"/>
            <w:left w:val="none" w:sz="0" w:space="0" w:color="auto"/>
            <w:bottom w:val="none" w:sz="0" w:space="0" w:color="auto"/>
            <w:right w:val="none" w:sz="0" w:space="0" w:color="auto"/>
          </w:divBdr>
          <w:divsChild>
            <w:div w:id="230696683">
              <w:marLeft w:val="0"/>
              <w:marRight w:val="0"/>
              <w:marTop w:val="0"/>
              <w:marBottom w:val="0"/>
              <w:divBdr>
                <w:top w:val="none" w:sz="0" w:space="0" w:color="auto"/>
                <w:left w:val="none" w:sz="0" w:space="0" w:color="auto"/>
                <w:bottom w:val="none" w:sz="0" w:space="0" w:color="auto"/>
                <w:right w:val="none" w:sz="0" w:space="0" w:color="auto"/>
              </w:divBdr>
              <w:divsChild>
                <w:div w:id="571428233">
                  <w:marLeft w:val="0"/>
                  <w:marRight w:val="0"/>
                  <w:marTop w:val="0"/>
                  <w:marBottom w:val="0"/>
                  <w:divBdr>
                    <w:top w:val="none" w:sz="0" w:space="0" w:color="auto"/>
                    <w:left w:val="none" w:sz="0" w:space="0" w:color="auto"/>
                    <w:bottom w:val="none" w:sz="0" w:space="0" w:color="auto"/>
                    <w:right w:val="none" w:sz="0" w:space="0" w:color="auto"/>
                  </w:divBdr>
                  <w:divsChild>
                    <w:div w:id="147553590">
                      <w:marLeft w:val="0"/>
                      <w:marRight w:val="0"/>
                      <w:marTop w:val="0"/>
                      <w:marBottom w:val="0"/>
                      <w:divBdr>
                        <w:top w:val="none" w:sz="0" w:space="0" w:color="auto"/>
                        <w:left w:val="none" w:sz="0" w:space="0" w:color="auto"/>
                        <w:bottom w:val="none" w:sz="0" w:space="0" w:color="auto"/>
                        <w:right w:val="none" w:sz="0" w:space="0" w:color="auto"/>
                      </w:divBdr>
                    </w:div>
                    <w:div w:id="6183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29843">
      <w:bodyDiv w:val="1"/>
      <w:marLeft w:val="0"/>
      <w:marRight w:val="0"/>
      <w:marTop w:val="0"/>
      <w:marBottom w:val="0"/>
      <w:divBdr>
        <w:top w:val="none" w:sz="0" w:space="0" w:color="auto"/>
        <w:left w:val="none" w:sz="0" w:space="0" w:color="auto"/>
        <w:bottom w:val="none" w:sz="0" w:space="0" w:color="auto"/>
        <w:right w:val="none" w:sz="0" w:space="0" w:color="auto"/>
      </w:divBdr>
    </w:div>
    <w:div w:id="1523742154">
      <w:bodyDiv w:val="1"/>
      <w:marLeft w:val="0"/>
      <w:marRight w:val="0"/>
      <w:marTop w:val="150"/>
      <w:marBottom w:val="0"/>
      <w:divBdr>
        <w:top w:val="none" w:sz="0" w:space="0" w:color="auto"/>
        <w:left w:val="none" w:sz="0" w:space="0" w:color="auto"/>
        <w:bottom w:val="none" w:sz="0" w:space="0" w:color="auto"/>
        <w:right w:val="none" w:sz="0" w:space="0" w:color="auto"/>
      </w:divBdr>
      <w:divsChild>
        <w:div w:id="485779102">
          <w:marLeft w:val="0"/>
          <w:marRight w:val="0"/>
          <w:marTop w:val="0"/>
          <w:marBottom w:val="0"/>
          <w:divBdr>
            <w:top w:val="none" w:sz="0" w:space="0" w:color="auto"/>
            <w:left w:val="none" w:sz="0" w:space="0" w:color="auto"/>
            <w:bottom w:val="none" w:sz="0" w:space="0" w:color="auto"/>
            <w:right w:val="none" w:sz="0" w:space="0" w:color="auto"/>
          </w:divBdr>
          <w:divsChild>
            <w:div w:id="1576823072">
              <w:marLeft w:val="0"/>
              <w:marRight w:val="0"/>
              <w:marTop w:val="0"/>
              <w:marBottom w:val="0"/>
              <w:divBdr>
                <w:top w:val="none" w:sz="0" w:space="0" w:color="auto"/>
                <w:left w:val="none" w:sz="0" w:space="0" w:color="auto"/>
                <w:bottom w:val="none" w:sz="0" w:space="0" w:color="auto"/>
                <w:right w:val="none" w:sz="0" w:space="0" w:color="auto"/>
              </w:divBdr>
              <w:divsChild>
                <w:div w:id="902837354">
                  <w:marLeft w:val="0"/>
                  <w:marRight w:val="0"/>
                  <w:marTop w:val="0"/>
                  <w:marBottom w:val="0"/>
                  <w:divBdr>
                    <w:top w:val="none" w:sz="0" w:space="0" w:color="auto"/>
                    <w:left w:val="none" w:sz="0" w:space="0" w:color="auto"/>
                    <w:bottom w:val="none" w:sz="0" w:space="0" w:color="auto"/>
                    <w:right w:val="none" w:sz="0" w:space="0" w:color="auto"/>
                  </w:divBdr>
                  <w:divsChild>
                    <w:div w:id="207567827">
                      <w:marLeft w:val="0"/>
                      <w:marRight w:val="0"/>
                      <w:marTop w:val="0"/>
                      <w:marBottom w:val="0"/>
                      <w:divBdr>
                        <w:top w:val="none" w:sz="0" w:space="0" w:color="auto"/>
                        <w:left w:val="none" w:sz="0" w:space="0" w:color="auto"/>
                        <w:bottom w:val="none" w:sz="0" w:space="0" w:color="auto"/>
                        <w:right w:val="none" w:sz="0" w:space="0" w:color="auto"/>
                      </w:divBdr>
                      <w:divsChild>
                        <w:div w:id="692732062">
                          <w:marLeft w:val="0"/>
                          <w:marRight w:val="0"/>
                          <w:marTop w:val="0"/>
                          <w:marBottom w:val="0"/>
                          <w:divBdr>
                            <w:top w:val="none" w:sz="0" w:space="0" w:color="auto"/>
                            <w:left w:val="none" w:sz="0" w:space="0" w:color="auto"/>
                            <w:bottom w:val="none" w:sz="0" w:space="0" w:color="auto"/>
                            <w:right w:val="none" w:sz="0" w:space="0" w:color="auto"/>
                          </w:divBdr>
                          <w:divsChild>
                            <w:div w:id="316611069">
                              <w:marLeft w:val="0"/>
                              <w:marRight w:val="0"/>
                              <w:marTop w:val="0"/>
                              <w:marBottom w:val="0"/>
                              <w:divBdr>
                                <w:top w:val="none" w:sz="0" w:space="0" w:color="auto"/>
                                <w:left w:val="none" w:sz="0" w:space="0" w:color="auto"/>
                                <w:bottom w:val="none" w:sz="0" w:space="0" w:color="auto"/>
                                <w:right w:val="none" w:sz="0" w:space="0" w:color="auto"/>
                              </w:divBdr>
                              <w:divsChild>
                                <w:div w:id="129054864">
                                  <w:marLeft w:val="0"/>
                                  <w:marRight w:val="0"/>
                                  <w:marTop w:val="0"/>
                                  <w:marBottom w:val="0"/>
                                  <w:divBdr>
                                    <w:top w:val="none" w:sz="0" w:space="0" w:color="auto"/>
                                    <w:left w:val="none" w:sz="0" w:space="0" w:color="auto"/>
                                    <w:bottom w:val="none" w:sz="0" w:space="0" w:color="auto"/>
                                    <w:right w:val="none" w:sz="0" w:space="0" w:color="auto"/>
                                  </w:divBdr>
                                  <w:divsChild>
                                    <w:div w:id="352002512">
                                      <w:marLeft w:val="0"/>
                                      <w:marRight w:val="0"/>
                                      <w:marTop w:val="0"/>
                                      <w:marBottom w:val="0"/>
                                      <w:divBdr>
                                        <w:top w:val="none" w:sz="0" w:space="0" w:color="auto"/>
                                        <w:left w:val="none" w:sz="0" w:space="0" w:color="auto"/>
                                        <w:bottom w:val="none" w:sz="0" w:space="0" w:color="auto"/>
                                        <w:right w:val="none" w:sz="0" w:space="0" w:color="auto"/>
                                      </w:divBdr>
                                    </w:div>
                                    <w:div w:id="683676790">
                                      <w:marLeft w:val="0"/>
                                      <w:marRight w:val="0"/>
                                      <w:marTop w:val="0"/>
                                      <w:marBottom w:val="0"/>
                                      <w:divBdr>
                                        <w:top w:val="none" w:sz="0" w:space="0" w:color="auto"/>
                                        <w:left w:val="none" w:sz="0" w:space="0" w:color="auto"/>
                                        <w:bottom w:val="none" w:sz="0" w:space="0" w:color="auto"/>
                                        <w:right w:val="none" w:sz="0" w:space="0" w:color="auto"/>
                                      </w:divBdr>
                                    </w:div>
                                    <w:div w:id="694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12423">
      <w:bodyDiv w:val="1"/>
      <w:marLeft w:val="0"/>
      <w:marRight w:val="0"/>
      <w:marTop w:val="0"/>
      <w:marBottom w:val="0"/>
      <w:divBdr>
        <w:top w:val="none" w:sz="0" w:space="0" w:color="auto"/>
        <w:left w:val="none" w:sz="0" w:space="0" w:color="auto"/>
        <w:bottom w:val="none" w:sz="0" w:space="0" w:color="auto"/>
        <w:right w:val="none" w:sz="0" w:space="0" w:color="auto"/>
      </w:divBdr>
    </w:div>
    <w:div w:id="1603033387">
      <w:bodyDiv w:val="1"/>
      <w:marLeft w:val="0"/>
      <w:marRight w:val="0"/>
      <w:marTop w:val="150"/>
      <w:marBottom w:val="0"/>
      <w:divBdr>
        <w:top w:val="none" w:sz="0" w:space="0" w:color="auto"/>
        <w:left w:val="none" w:sz="0" w:space="0" w:color="auto"/>
        <w:bottom w:val="none" w:sz="0" w:space="0" w:color="auto"/>
        <w:right w:val="none" w:sz="0" w:space="0" w:color="auto"/>
      </w:divBdr>
    </w:div>
    <w:div w:id="1685088121">
      <w:bodyDiv w:val="1"/>
      <w:marLeft w:val="0"/>
      <w:marRight w:val="0"/>
      <w:marTop w:val="0"/>
      <w:marBottom w:val="0"/>
      <w:divBdr>
        <w:top w:val="none" w:sz="0" w:space="0" w:color="auto"/>
        <w:left w:val="none" w:sz="0" w:space="0" w:color="auto"/>
        <w:bottom w:val="none" w:sz="0" w:space="0" w:color="auto"/>
        <w:right w:val="none" w:sz="0" w:space="0" w:color="auto"/>
      </w:divBdr>
    </w:div>
    <w:div w:id="1724139209">
      <w:bodyDiv w:val="1"/>
      <w:marLeft w:val="0"/>
      <w:marRight w:val="0"/>
      <w:marTop w:val="0"/>
      <w:marBottom w:val="0"/>
      <w:divBdr>
        <w:top w:val="none" w:sz="0" w:space="0" w:color="auto"/>
        <w:left w:val="none" w:sz="0" w:space="0" w:color="auto"/>
        <w:bottom w:val="none" w:sz="0" w:space="0" w:color="auto"/>
        <w:right w:val="none" w:sz="0" w:space="0" w:color="auto"/>
      </w:divBdr>
    </w:div>
    <w:div w:id="1809279310">
      <w:bodyDiv w:val="1"/>
      <w:marLeft w:val="0"/>
      <w:marRight w:val="0"/>
      <w:marTop w:val="0"/>
      <w:marBottom w:val="0"/>
      <w:divBdr>
        <w:top w:val="none" w:sz="0" w:space="0" w:color="auto"/>
        <w:left w:val="none" w:sz="0" w:space="0" w:color="auto"/>
        <w:bottom w:val="none" w:sz="0" w:space="0" w:color="auto"/>
        <w:right w:val="none" w:sz="0" w:space="0" w:color="auto"/>
      </w:divBdr>
    </w:div>
    <w:div w:id="1822892017">
      <w:bodyDiv w:val="1"/>
      <w:marLeft w:val="0"/>
      <w:marRight w:val="0"/>
      <w:marTop w:val="0"/>
      <w:marBottom w:val="0"/>
      <w:divBdr>
        <w:top w:val="none" w:sz="0" w:space="0" w:color="auto"/>
        <w:left w:val="none" w:sz="0" w:space="0" w:color="auto"/>
        <w:bottom w:val="none" w:sz="0" w:space="0" w:color="auto"/>
        <w:right w:val="none" w:sz="0" w:space="0" w:color="auto"/>
      </w:divBdr>
    </w:div>
    <w:div w:id="1837190943">
      <w:bodyDiv w:val="1"/>
      <w:marLeft w:val="0"/>
      <w:marRight w:val="0"/>
      <w:marTop w:val="0"/>
      <w:marBottom w:val="0"/>
      <w:divBdr>
        <w:top w:val="none" w:sz="0" w:space="0" w:color="auto"/>
        <w:left w:val="none" w:sz="0" w:space="0" w:color="auto"/>
        <w:bottom w:val="none" w:sz="0" w:space="0" w:color="auto"/>
        <w:right w:val="none" w:sz="0" w:space="0" w:color="auto"/>
      </w:divBdr>
    </w:div>
    <w:div w:id="1904682464">
      <w:bodyDiv w:val="1"/>
      <w:marLeft w:val="0"/>
      <w:marRight w:val="0"/>
      <w:marTop w:val="0"/>
      <w:marBottom w:val="0"/>
      <w:divBdr>
        <w:top w:val="none" w:sz="0" w:space="0" w:color="auto"/>
        <w:left w:val="none" w:sz="0" w:space="0" w:color="auto"/>
        <w:bottom w:val="none" w:sz="0" w:space="0" w:color="auto"/>
        <w:right w:val="none" w:sz="0" w:space="0" w:color="auto"/>
      </w:divBdr>
    </w:div>
    <w:div w:id="1964459323">
      <w:bodyDiv w:val="1"/>
      <w:marLeft w:val="0"/>
      <w:marRight w:val="0"/>
      <w:marTop w:val="0"/>
      <w:marBottom w:val="0"/>
      <w:divBdr>
        <w:top w:val="none" w:sz="0" w:space="0" w:color="auto"/>
        <w:left w:val="none" w:sz="0" w:space="0" w:color="auto"/>
        <w:bottom w:val="none" w:sz="0" w:space="0" w:color="auto"/>
        <w:right w:val="none" w:sz="0" w:space="0" w:color="auto"/>
      </w:divBdr>
    </w:div>
    <w:div w:id="1968928987">
      <w:bodyDiv w:val="1"/>
      <w:marLeft w:val="0"/>
      <w:marRight w:val="0"/>
      <w:marTop w:val="0"/>
      <w:marBottom w:val="0"/>
      <w:divBdr>
        <w:top w:val="none" w:sz="0" w:space="0" w:color="auto"/>
        <w:left w:val="none" w:sz="0" w:space="0" w:color="auto"/>
        <w:bottom w:val="none" w:sz="0" w:space="0" w:color="auto"/>
        <w:right w:val="none" w:sz="0" w:space="0" w:color="auto"/>
      </w:divBdr>
    </w:div>
    <w:div w:id="204335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file:///\\bio-fsws01\share\Finance\US%20FINANCE\1.%20FINANCE%20OPERATIONS\6.%20Month%20End%20Close\10_2024\Work%20In%20Progress%20Jay\Proposed%20Inventory%20Approval%20Matrix%20-%20Write-offs%20and%20Write%20Ons.xlsx!Inventory%20Approval%20Matrix!R2C2:R14C4" TargetMode="External"/><Relationship Id="rId18" Type="http://schemas.openxmlformats.org/officeDocument/2006/relationships/hyperlink" Target="https://bionet.bioventus.com/wp-content/uploads/Bioventus-Global-Credit-Policy-12.03.2024-Updat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pwccomperio.com/contents/english/external/us/gaap/Master_Glossary/Master_Glossary_B.htm" TargetMode="External"/><Relationship Id="rId2" Type="http://schemas.openxmlformats.org/officeDocument/2006/relationships/numbering" Target="numbering.xml"/><Relationship Id="rId16" Type="http://schemas.openxmlformats.org/officeDocument/2006/relationships/hyperlink" Target="mailto:accounts.payable@bioventus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net.bioventus.com/wp-content/uploads/Bioventus-Global-Credit-Policy-12.03.2024-Update.pdf" TargetMode="External"/><Relationship Id="rId5" Type="http://schemas.openxmlformats.org/officeDocument/2006/relationships/webSettings" Target="webSettings.xml"/><Relationship Id="rId15" Type="http://schemas.openxmlformats.org/officeDocument/2006/relationships/hyperlink" Target="mailto:BioventusAP@bioventusglobal.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wccomperio.com/contents/english/external/us/gaap/Master_Glossary/Master_Glossary_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F1F3-8C89-4C89-9784-57B17FBE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25050</Words>
  <Characters>142791</Characters>
  <Application>Microsoft Office Word</Application>
  <DocSecurity>0</DocSecurity>
  <Lines>1189</Lines>
  <Paragraphs>335</Paragraphs>
  <ScaleCrop>false</ScaleCrop>
  <HeadingPairs>
    <vt:vector size="2" baseType="variant">
      <vt:variant>
        <vt:lpstr>Title</vt:lpstr>
      </vt:variant>
      <vt:variant>
        <vt:i4>1</vt:i4>
      </vt:variant>
    </vt:vector>
  </HeadingPairs>
  <TitlesOfParts>
    <vt:vector size="1" baseType="lpstr">
      <vt:lpstr>CONTENTS</vt:lpstr>
    </vt:vector>
  </TitlesOfParts>
  <Company>Smith and Nephew Inc</Company>
  <LinksUpToDate>false</LinksUpToDate>
  <CharactersWithSpaces>167506</CharactersWithSpaces>
  <SharedDoc>false</SharedDoc>
  <HLinks>
    <vt:vector size="24" baseType="variant">
      <vt:variant>
        <vt:i4>7602263</vt:i4>
      </vt:variant>
      <vt:variant>
        <vt:i4>9</vt:i4>
      </vt:variant>
      <vt:variant>
        <vt:i4>0</vt:i4>
      </vt:variant>
      <vt:variant>
        <vt:i4>5</vt:i4>
      </vt:variant>
      <vt:variant>
        <vt:lpwstr>http://www.pwccomperio.com/contents/english/external/us/gaap/Master_Glossary/Master_Glossary_B.htm</vt:lpwstr>
      </vt:variant>
      <vt:variant>
        <vt:lpwstr>term-805-10-20-BusinessCombination-123080</vt:lpwstr>
      </vt:variant>
      <vt:variant>
        <vt:i4>5177403</vt:i4>
      </vt:variant>
      <vt:variant>
        <vt:i4>6</vt:i4>
      </vt:variant>
      <vt:variant>
        <vt:i4>0</vt:i4>
      </vt:variant>
      <vt:variant>
        <vt:i4>5</vt:i4>
      </vt:variant>
      <vt:variant>
        <vt:lpwstr>mailto:accounts.payable@bioventusglobal.com</vt:lpwstr>
      </vt:variant>
      <vt:variant>
        <vt:lpwstr/>
      </vt:variant>
      <vt:variant>
        <vt:i4>8257603</vt:i4>
      </vt:variant>
      <vt:variant>
        <vt:i4>3</vt:i4>
      </vt:variant>
      <vt:variant>
        <vt:i4>0</vt:i4>
      </vt:variant>
      <vt:variant>
        <vt:i4>5</vt:i4>
      </vt:variant>
      <vt:variant>
        <vt:lpwstr>mailto:BioventusAP@bioventusglobal.com</vt:lpwstr>
      </vt:variant>
      <vt:variant>
        <vt:lpwstr/>
      </vt:variant>
      <vt:variant>
        <vt:i4>262183</vt:i4>
      </vt:variant>
      <vt:variant>
        <vt:i4>0</vt:i4>
      </vt:variant>
      <vt:variant>
        <vt:i4>0</vt:i4>
      </vt:variant>
      <vt:variant>
        <vt:i4>5</vt:i4>
      </vt:variant>
      <vt:variant>
        <vt:lpwstr>http://www.pwccomperio.com/contents/english/external/us/gaap/Master_Glossary/Master_Glossary_F.htm</vt:lpwstr>
      </vt:variant>
      <vt:variant>
        <vt:lpwstr>term-820-10-20-FairValue-110473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lojm</dc:creator>
  <cp:keywords/>
  <dc:description/>
  <cp:lastModifiedBy>Joana Starr</cp:lastModifiedBy>
  <cp:revision>3</cp:revision>
  <cp:lastPrinted>2020-12-07T15:04:00Z</cp:lastPrinted>
  <dcterms:created xsi:type="dcterms:W3CDTF">2026-06-30T16:14:00Z</dcterms:created>
  <dcterms:modified xsi:type="dcterms:W3CDTF">2026-06-30T16:14:00Z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2de5f9-2999-487c-8150-cb5b1c8566f8_Enabled">
    <vt:lpwstr>true</vt:lpwstr>
  </property>
  <property fmtid="{D5CDD505-2E9C-101B-9397-08002B2CF9AE}" pid="3" name="MSIP_Label_632de5f9-2999-487c-8150-cb5b1c8566f8_SetDate">
    <vt:lpwstr>2025-02-06T14:27:46Z</vt:lpwstr>
  </property>
  <property fmtid="{D5CDD505-2E9C-101B-9397-08002B2CF9AE}" pid="4" name="MSIP_Label_632de5f9-2999-487c-8150-cb5b1c8566f8_Method">
    <vt:lpwstr>Standard</vt:lpwstr>
  </property>
  <property fmtid="{D5CDD505-2E9C-101B-9397-08002B2CF9AE}" pid="5" name="MSIP_Label_632de5f9-2999-487c-8150-cb5b1c8566f8_Name">
    <vt:lpwstr>defa4170-0d19-0005-0004-bc88714345d2</vt:lpwstr>
  </property>
  <property fmtid="{D5CDD505-2E9C-101B-9397-08002B2CF9AE}" pid="6" name="MSIP_Label_632de5f9-2999-487c-8150-cb5b1c8566f8_SiteId">
    <vt:lpwstr>1fe37436-453e-49b8-8919-a5326c04617c</vt:lpwstr>
  </property>
  <property fmtid="{D5CDD505-2E9C-101B-9397-08002B2CF9AE}" pid="7" name="MSIP_Label_632de5f9-2999-487c-8150-cb5b1c8566f8_ActionId">
    <vt:lpwstr>00bea297-0599-4102-8b8e-070919a79a9e</vt:lpwstr>
  </property>
  <property fmtid="{D5CDD505-2E9C-101B-9397-08002B2CF9AE}" pid="8" name="MSIP_Label_632de5f9-2999-487c-8150-cb5b1c8566f8_ContentBits">
    <vt:lpwstr>0</vt:lpwstr>
  </property>
</Properties>
</file>