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EE8B1" w14:textId="658046AB" w:rsidR="00850868" w:rsidRPr="00EC5926" w:rsidRDefault="00850868" w:rsidP="00DA0F77">
      <w:pPr>
        <w:keepNext/>
        <w:spacing w:after="0" w:line="0" w:lineRule="atLeast"/>
        <w:ind w:left="360"/>
        <w:jc w:val="center"/>
        <w:outlineLvl w:val="1"/>
        <w:rPr>
          <w:rFonts w:ascii="Century Gothic" w:eastAsia="Times New Roman" w:hAnsi="Century Gothic" w:cs="Arial"/>
          <w:b/>
          <w:bCs/>
          <w:sz w:val="24"/>
          <w:szCs w:val="24"/>
        </w:rPr>
      </w:pPr>
      <w:r w:rsidRPr="00EC5926">
        <w:rPr>
          <w:rFonts w:ascii="Century Gothic" w:eastAsia="Times New Roman" w:hAnsi="Century Gothic" w:cs="Arial"/>
          <w:b/>
          <w:bCs/>
          <w:sz w:val="24"/>
          <w:szCs w:val="24"/>
        </w:rPr>
        <w:t xml:space="preserve">Bioventus </w:t>
      </w:r>
      <w:r w:rsidR="00947870" w:rsidRPr="00EC5926">
        <w:rPr>
          <w:rFonts w:ascii="Century Gothic" w:eastAsia="Times New Roman" w:hAnsi="Century Gothic" w:cs="Arial"/>
          <w:b/>
          <w:bCs/>
          <w:sz w:val="24"/>
          <w:szCs w:val="24"/>
        </w:rPr>
        <w:t>Global</w:t>
      </w:r>
      <w:r w:rsidRPr="00EC5926">
        <w:rPr>
          <w:rFonts w:ascii="Century Gothic" w:eastAsia="Times New Roman" w:hAnsi="Century Gothic" w:cs="Arial"/>
          <w:b/>
          <w:bCs/>
          <w:sz w:val="24"/>
          <w:szCs w:val="24"/>
        </w:rPr>
        <w:t xml:space="preserve"> </w:t>
      </w:r>
      <w:r w:rsidR="006B5D39">
        <w:rPr>
          <w:rFonts w:ascii="Century Gothic" w:eastAsia="Times New Roman" w:hAnsi="Century Gothic" w:cs="Arial"/>
          <w:b/>
          <w:bCs/>
          <w:sz w:val="24"/>
          <w:szCs w:val="24"/>
        </w:rPr>
        <w:t xml:space="preserve">Allowance for </w:t>
      </w:r>
      <w:r w:rsidR="00811205">
        <w:rPr>
          <w:rFonts w:ascii="Century Gothic" w:eastAsia="Times New Roman" w:hAnsi="Century Gothic" w:cs="Arial"/>
          <w:b/>
          <w:bCs/>
          <w:sz w:val="24"/>
          <w:szCs w:val="24"/>
        </w:rPr>
        <w:t>E</w:t>
      </w:r>
      <w:r w:rsidR="006B5D39">
        <w:rPr>
          <w:rFonts w:ascii="Century Gothic" w:eastAsia="Times New Roman" w:hAnsi="Century Gothic" w:cs="Arial"/>
          <w:b/>
          <w:bCs/>
          <w:sz w:val="24"/>
          <w:szCs w:val="24"/>
        </w:rPr>
        <w:t xml:space="preserve">xpected </w:t>
      </w:r>
      <w:r w:rsidRPr="00EC5926">
        <w:rPr>
          <w:rFonts w:ascii="Century Gothic" w:eastAsia="Times New Roman" w:hAnsi="Century Gothic" w:cs="Arial"/>
          <w:b/>
          <w:bCs/>
          <w:sz w:val="24"/>
          <w:szCs w:val="24"/>
        </w:rPr>
        <w:t>Credit Loss Policy</w:t>
      </w:r>
    </w:p>
    <w:p w14:paraId="53F71044" w14:textId="77777777" w:rsidR="00850868" w:rsidRDefault="00850868" w:rsidP="00BA172F">
      <w:pPr>
        <w:keepNext/>
        <w:spacing w:after="0" w:line="0" w:lineRule="atLeast"/>
        <w:ind w:firstLine="360"/>
        <w:jc w:val="both"/>
        <w:outlineLvl w:val="1"/>
        <w:rPr>
          <w:rFonts w:ascii="Century Gothic" w:eastAsia="Times New Roman" w:hAnsi="Century Gothic" w:cs="Arial"/>
          <w:b/>
          <w:bCs/>
          <w:sz w:val="20"/>
          <w:szCs w:val="20"/>
        </w:rPr>
      </w:pPr>
    </w:p>
    <w:p w14:paraId="4F95FC05" w14:textId="2E9E2B11" w:rsidR="00850868" w:rsidRPr="00EC5926" w:rsidRDefault="00850868" w:rsidP="00EC5926">
      <w:pPr>
        <w:pStyle w:val="ListParagraph"/>
        <w:keepNext/>
        <w:numPr>
          <w:ilvl w:val="0"/>
          <w:numId w:val="5"/>
        </w:numPr>
        <w:spacing w:after="0" w:line="0" w:lineRule="atLeast"/>
        <w:jc w:val="both"/>
        <w:outlineLvl w:val="1"/>
        <w:rPr>
          <w:rFonts w:ascii="Century Gothic" w:eastAsia="Times New Roman" w:hAnsi="Century Gothic" w:cs="Arial"/>
          <w:b/>
          <w:bCs/>
          <w:sz w:val="20"/>
          <w:szCs w:val="20"/>
        </w:rPr>
      </w:pPr>
      <w:r w:rsidRPr="00EC5926">
        <w:rPr>
          <w:rFonts w:ascii="Century Gothic" w:eastAsia="Times New Roman" w:hAnsi="Century Gothic" w:cs="Arial"/>
          <w:b/>
          <w:bCs/>
          <w:sz w:val="20"/>
          <w:szCs w:val="20"/>
        </w:rPr>
        <w:t>Purpose:</w:t>
      </w:r>
    </w:p>
    <w:p w14:paraId="64DDDE18" w14:textId="7025A6FC" w:rsidR="00850868" w:rsidRDefault="00850868" w:rsidP="00EC5926">
      <w:pPr>
        <w:keepNext/>
        <w:spacing w:after="0" w:line="0" w:lineRule="atLeast"/>
        <w:jc w:val="both"/>
        <w:outlineLvl w:val="1"/>
        <w:rPr>
          <w:rFonts w:ascii="Century Gothic" w:eastAsia="Times New Roman" w:hAnsi="Century Gothic" w:cs="Arial"/>
          <w:b/>
          <w:bCs/>
          <w:sz w:val="20"/>
          <w:szCs w:val="20"/>
        </w:rPr>
      </w:pPr>
    </w:p>
    <w:p w14:paraId="46073CA2" w14:textId="77777777" w:rsidR="007A071C" w:rsidRDefault="00726435" w:rsidP="00EC5926">
      <w:pPr>
        <w:keepNext/>
        <w:spacing w:after="0" w:line="0" w:lineRule="atLeast"/>
        <w:ind w:left="360"/>
        <w:jc w:val="both"/>
        <w:outlineLvl w:val="1"/>
        <w:rPr>
          <w:rFonts w:ascii="Arial" w:eastAsia="Times New Roman" w:hAnsi="Arial" w:cs="Arial"/>
          <w:bCs/>
          <w:sz w:val="20"/>
          <w:szCs w:val="20"/>
        </w:rPr>
      </w:pPr>
      <w:r w:rsidRPr="00726435">
        <w:rPr>
          <w:rFonts w:ascii="Arial" w:eastAsia="Times New Roman" w:hAnsi="Arial" w:cs="Arial"/>
          <w:bCs/>
          <w:sz w:val="20"/>
          <w:szCs w:val="20"/>
        </w:rPr>
        <w:t xml:space="preserve">The Company’s consolidated financial statements are prepared in accordance with accounting principles generally accepted in the United States of America (US GAAP) and regulations of the United States Securities and Exchange Commission (SEC). Accordingly, the Company applies </w:t>
      </w:r>
      <w:r>
        <w:rPr>
          <w:rFonts w:ascii="Arial" w:eastAsia="Times New Roman" w:hAnsi="Arial" w:cs="Arial"/>
          <w:bCs/>
          <w:sz w:val="20"/>
          <w:szCs w:val="20"/>
        </w:rPr>
        <w:t xml:space="preserve">the credit loss guidance contained in </w:t>
      </w:r>
      <w:r w:rsidR="00850868">
        <w:rPr>
          <w:rFonts w:ascii="Arial" w:eastAsia="Times New Roman" w:hAnsi="Arial" w:cs="Arial"/>
          <w:bCs/>
          <w:sz w:val="20"/>
          <w:szCs w:val="20"/>
        </w:rPr>
        <w:t xml:space="preserve">ASC 326-20, </w:t>
      </w:r>
      <w:r w:rsidR="00850868">
        <w:rPr>
          <w:rFonts w:ascii="Arial" w:eastAsia="Times New Roman" w:hAnsi="Arial" w:cs="Arial"/>
          <w:bCs/>
          <w:i/>
          <w:sz w:val="20"/>
          <w:szCs w:val="20"/>
        </w:rPr>
        <w:t>Financial Instruments – Credit Losses- Measured at Amortized Cost</w:t>
      </w:r>
      <w:r w:rsidRPr="00726435">
        <w:rPr>
          <w:rFonts w:ascii="Arial" w:eastAsia="Times New Roman" w:hAnsi="Arial" w:cs="Arial"/>
          <w:bCs/>
          <w:sz w:val="20"/>
          <w:szCs w:val="20"/>
        </w:rPr>
        <w:t xml:space="preserve"> </w:t>
      </w:r>
      <w:r>
        <w:rPr>
          <w:rFonts w:ascii="Arial" w:eastAsia="Times New Roman" w:hAnsi="Arial" w:cs="Arial"/>
          <w:bCs/>
          <w:sz w:val="20"/>
          <w:szCs w:val="20"/>
        </w:rPr>
        <w:t xml:space="preserve">to </w:t>
      </w:r>
      <w:r w:rsidRPr="00253EDD">
        <w:rPr>
          <w:rFonts w:ascii="Arial" w:eastAsia="Times New Roman" w:hAnsi="Arial" w:cs="Arial"/>
          <w:bCs/>
          <w:i/>
          <w:sz w:val="20"/>
          <w:szCs w:val="20"/>
          <w:u w:val="single"/>
        </w:rPr>
        <w:t xml:space="preserve">estimate </w:t>
      </w:r>
      <w:r w:rsidR="00BA4F55" w:rsidRPr="00253EDD">
        <w:rPr>
          <w:rFonts w:ascii="Arial" w:eastAsia="Times New Roman" w:hAnsi="Arial" w:cs="Arial"/>
          <w:bCs/>
          <w:i/>
          <w:sz w:val="20"/>
          <w:szCs w:val="20"/>
          <w:u w:val="single"/>
        </w:rPr>
        <w:t xml:space="preserve">current expected </w:t>
      </w:r>
      <w:r w:rsidRPr="00253EDD">
        <w:rPr>
          <w:rFonts w:ascii="Arial" w:eastAsia="Times New Roman" w:hAnsi="Arial" w:cs="Arial"/>
          <w:bCs/>
          <w:i/>
          <w:sz w:val="20"/>
          <w:szCs w:val="20"/>
          <w:u w:val="single"/>
        </w:rPr>
        <w:t>credit losses on financial assets carried at amortized cost (</w:t>
      </w:r>
      <w:r w:rsidR="00BA4F55" w:rsidRPr="00253EDD">
        <w:rPr>
          <w:rFonts w:ascii="Arial" w:eastAsia="Times New Roman" w:hAnsi="Arial" w:cs="Arial"/>
          <w:bCs/>
          <w:i/>
          <w:sz w:val="20"/>
          <w:szCs w:val="20"/>
          <w:u w:val="single"/>
        </w:rPr>
        <w:t>“CECL”)</w:t>
      </w:r>
      <w:r w:rsidRPr="00253EDD">
        <w:rPr>
          <w:rFonts w:ascii="Arial" w:eastAsia="Times New Roman" w:hAnsi="Arial" w:cs="Arial"/>
          <w:bCs/>
          <w:i/>
          <w:sz w:val="20"/>
          <w:szCs w:val="20"/>
          <w:u w:val="single"/>
        </w:rPr>
        <w:t>.</w:t>
      </w:r>
      <w:r>
        <w:rPr>
          <w:rFonts w:ascii="Arial" w:eastAsia="Times New Roman" w:hAnsi="Arial" w:cs="Arial"/>
          <w:bCs/>
          <w:sz w:val="20"/>
          <w:szCs w:val="20"/>
        </w:rPr>
        <w:t xml:space="preserve"> </w:t>
      </w:r>
    </w:p>
    <w:p w14:paraId="6FF35C14" w14:textId="77777777" w:rsidR="007A071C" w:rsidRDefault="007A071C" w:rsidP="00EC5926">
      <w:pPr>
        <w:keepNext/>
        <w:spacing w:after="0" w:line="0" w:lineRule="atLeast"/>
        <w:ind w:left="360"/>
        <w:jc w:val="both"/>
        <w:outlineLvl w:val="1"/>
        <w:rPr>
          <w:rFonts w:ascii="Arial" w:eastAsia="Times New Roman" w:hAnsi="Arial" w:cs="Arial"/>
          <w:bCs/>
          <w:sz w:val="20"/>
          <w:szCs w:val="20"/>
        </w:rPr>
      </w:pPr>
    </w:p>
    <w:p w14:paraId="30E600D5" w14:textId="2E2F844D" w:rsidR="00850868" w:rsidRPr="00253EDD" w:rsidRDefault="00726435" w:rsidP="00EC5926">
      <w:pPr>
        <w:keepNext/>
        <w:spacing w:after="0" w:line="0" w:lineRule="atLeast"/>
        <w:ind w:left="360"/>
        <w:jc w:val="both"/>
        <w:outlineLvl w:val="1"/>
        <w:rPr>
          <w:rFonts w:ascii="Arial" w:eastAsia="Times New Roman" w:hAnsi="Arial" w:cs="Arial"/>
          <w:bCs/>
          <w:i/>
          <w:sz w:val="20"/>
          <w:szCs w:val="20"/>
        </w:rPr>
      </w:pPr>
      <w:r w:rsidRPr="00253EDD">
        <w:rPr>
          <w:rFonts w:ascii="Arial" w:hAnsi="Arial" w:cs="Arial"/>
          <w:i/>
          <w:sz w:val="20"/>
        </w:rPr>
        <w:t xml:space="preserve">Refer to </w:t>
      </w:r>
      <w:r w:rsidRPr="00253EDD">
        <w:rPr>
          <w:rFonts w:ascii="Arial" w:hAnsi="Arial" w:cs="Arial"/>
          <w:i/>
          <w:sz w:val="20"/>
          <w:u w:val="single"/>
        </w:rPr>
        <w:t>Bioventus Global Accounting Policies Manual on Bionet for guidance on all other accounting policies</w:t>
      </w:r>
      <w:r w:rsidRPr="00253EDD">
        <w:rPr>
          <w:rFonts w:ascii="Arial" w:hAnsi="Arial" w:cs="Arial"/>
          <w:i/>
          <w:sz w:val="20"/>
        </w:rPr>
        <w:t xml:space="preserve"> that govern and support the business practices, operations and transactions of Bioventus LLC and its subsidiaries</w:t>
      </w:r>
    </w:p>
    <w:p w14:paraId="052DD5C2" w14:textId="4A6E27A0" w:rsidR="00850868" w:rsidRDefault="00850868" w:rsidP="00EC5926">
      <w:pPr>
        <w:keepNext/>
        <w:spacing w:after="0" w:line="0" w:lineRule="atLeast"/>
        <w:ind w:left="360"/>
        <w:jc w:val="both"/>
        <w:outlineLvl w:val="1"/>
        <w:rPr>
          <w:rFonts w:ascii="Arial" w:eastAsia="Times New Roman" w:hAnsi="Arial" w:cs="Arial"/>
          <w:bCs/>
          <w:i/>
          <w:sz w:val="20"/>
          <w:szCs w:val="20"/>
        </w:rPr>
      </w:pPr>
    </w:p>
    <w:p w14:paraId="218C963B" w14:textId="6F4EB303" w:rsidR="008266CC" w:rsidRDefault="008266CC" w:rsidP="008266CC">
      <w:pPr>
        <w:pStyle w:val="ListParagraph"/>
        <w:keepNext/>
        <w:numPr>
          <w:ilvl w:val="0"/>
          <w:numId w:val="5"/>
        </w:numPr>
        <w:spacing w:after="0" w:line="0" w:lineRule="atLeast"/>
        <w:jc w:val="both"/>
        <w:outlineLvl w:val="1"/>
        <w:rPr>
          <w:rFonts w:ascii="Century Gothic" w:eastAsia="Times New Roman" w:hAnsi="Century Gothic" w:cs="Arial"/>
          <w:b/>
          <w:bCs/>
          <w:sz w:val="20"/>
          <w:szCs w:val="20"/>
        </w:rPr>
      </w:pPr>
      <w:r>
        <w:rPr>
          <w:rFonts w:ascii="Century Gothic" w:eastAsia="Times New Roman" w:hAnsi="Century Gothic" w:cs="Arial"/>
          <w:b/>
          <w:bCs/>
          <w:sz w:val="20"/>
          <w:szCs w:val="20"/>
        </w:rPr>
        <w:t>Scope</w:t>
      </w:r>
      <w:r w:rsidR="003620CA">
        <w:rPr>
          <w:rFonts w:ascii="Century Gothic" w:eastAsia="Times New Roman" w:hAnsi="Century Gothic" w:cs="Arial"/>
          <w:b/>
          <w:bCs/>
          <w:sz w:val="20"/>
          <w:szCs w:val="20"/>
        </w:rPr>
        <w:t xml:space="preserve"> and Background</w:t>
      </w:r>
      <w:r w:rsidRPr="001B7FED">
        <w:rPr>
          <w:rFonts w:ascii="Century Gothic" w:eastAsia="Times New Roman" w:hAnsi="Century Gothic" w:cs="Arial"/>
          <w:b/>
          <w:bCs/>
          <w:sz w:val="20"/>
          <w:szCs w:val="20"/>
        </w:rPr>
        <w:t>:</w:t>
      </w:r>
    </w:p>
    <w:p w14:paraId="59AFA7A0" w14:textId="296C2370" w:rsidR="008266CC" w:rsidRDefault="008266CC" w:rsidP="00EC5926">
      <w:pPr>
        <w:keepNext/>
        <w:spacing w:after="0" w:line="0" w:lineRule="atLeast"/>
        <w:ind w:left="360"/>
        <w:jc w:val="both"/>
        <w:outlineLvl w:val="1"/>
        <w:rPr>
          <w:rFonts w:ascii="Arial" w:eastAsia="Times New Roman" w:hAnsi="Arial" w:cs="Arial"/>
          <w:bCs/>
          <w:sz w:val="20"/>
          <w:szCs w:val="20"/>
        </w:rPr>
      </w:pPr>
    </w:p>
    <w:p w14:paraId="7FB363AF" w14:textId="51EBFCE1" w:rsidR="005A03DD" w:rsidRDefault="005A03DD" w:rsidP="005A03DD">
      <w:pPr>
        <w:keepNext/>
        <w:spacing w:after="0" w:line="0" w:lineRule="atLeast"/>
        <w:ind w:left="360"/>
        <w:jc w:val="both"/>
        <w:outlineLvl w:val="1"/>
        <w:rPr>
          <w:rFonts w:ascii="Arial" w:eastAsia="Times New Roman" w:hAnsi="Arial" w:cs="Arial"/>
          <w:bCs/>
          <w:sz w:val="20"/>
          <w:szCs w:val="20"/>
        </w:rPr>
      </w:pPr>
      <w:r w:rsidRPr="005A03DD">
        <w:rPr>
          <w:rFonts w:ascii="Arial" w:eastAsia="Times New Roman" w:hAnsi="Arial" w:cs="Arial"/>
          <w:bCs/>
          <w:sz w:val="20"/>
          <w:szCs w:val="20"/>
        </w:rPr>
        <w:t xml:space="preserve">The </w:t>
      </w:r>
      <w:r>
        <w:rPr>
          <w:rFonts w:ascii="Arial" w:eastAsia="Times New Roman" w:hAnsi="Arial" w:cs="Arial"/>
          <w:bCs/>
          <w:sz w:val="20"/>
          <w:szCs w:val="20"/>
        </w:rPr>
        <w:t>scope of CECL is broad and a</w:t>
      </w:r>
      <w:r w:rsidRPr="005A03DD">
        <w:rPr>
          <w:rFonts w:ascii="Arial" w:eastAsia="Times New Roman" w:hAnsi="Arial" w:cs="Arial"/>
          <w:bCs/>
          <w:sz w:val="20"/>
          <w:szCs w:val="20"/>
        </w:rPr>
        <w:t xml:space="preserve">pplies to financial assets and net investment in leases that are not accounted for at fair value through net income. That is, it effects nearly any financial asset measured at amortized cost, </w:t>
      </w:r>
      <w:r w:rsidR="0042625E">
        <w:rPr>
          <w:rFonts w:ascii="Arial" w:eastAsia="Times New Roman" w:hAnsi="Arial" w:cs="Arial"/>
          <w:bCs/>
          <w:sz w:val="20"/>
          <w:szCs w:val="20"/>
        </w:rPr>
        <w:t>including</w:t>
      </w:r>
      <w:r>
        <w:rPr>
          <w:rFonts w:ascii="Arial" w:eastAsia="Times New Roman" w:hAnsi="Arial" w:cs="Arial"/>
          <w:bCs/>
          <w:sz w:val="20"/>
          <w:szCs w:val="20"/>
        </w:rPr>
        <w:t>:</w:t>
      </w:r>
    </w:p>
    <w:p w14:paraId="27C40BD8" w14:textId="03534C43" w:rsidR="007E0548" w:rsidRPr="005A03DD" w:rsidRDefault="005A03DD" w:rsidP="005A03DD">
      <w:pPr>
        <w:pStyle w:val="ListParagraph"/>
        <w:keepNext/>
        <w:numPr>
          <w:ilvl w:val="0"/>
          <w:numId w:val="6"/>
        </w:numPr>
        <w:spacing w:after="0" w:line="0" w:lineRule="atLeast"/>
        <w:jc w:val="both"/>
        <w:outlineLvl w:val="1"/>
        <w:rPr>
          <w:rFonts w:ascii="Arial" w:eastAsia="Times New Roman" w:hAnsi="Arial" w:cs="Arial"/>
          <w:bCs/>
          <w:sz w:val="20"/>
          <w:szCs w:val="20"/>
        </w:rPr>
      </w:pPr>
      <w:r>
        <w:rPr>
          <w:rFonts w:ascii="Arial" w:eastAsia="Times New Roman" w:hAnsi="Arial" w:cs="Arial"/>
          <w:bCs/>
          <w:sz w:val="20"/>
          <w:szCs w:val="20"/>
        </w:rPr>
        <w:t>Financing re</w:t>
      </w:r>
      <w:r w:rsidR="007E0548" w:rsidRPr="005A03DD">
        <w:rPr>
          <w:rFonts w:ascii="Arial" w:eastAsia="Times New Roman" w:hAnsi="Arial" w:cs="Arial"/>
          <w:bCs/>
          <w:sz w:val="20"/>
          <w:szCs w:val="20"/>
        </w:rPr>
        <w:t>ceivables</w:t>
      </w:r>
      <w:r>
        <w:rPr>
          <w:rFonts w:ascii="Arial" w:eastAsia="Times New Roman" w:hAnsi="Arial" w:cs="Arial"/>
          <w:bCs/>
          <w:sz w:val="20"/>
          <w:szCs w:val="20"/>
        </w:rPr>
        <w:t xml:space="preserve"> (loans)</w:t>
      </w:r>
    </w:p>
    <w:p w14:paraId="7705325F" w14:textId="77777777" w:rsidR="007E0548" w:rsidRDefault="007E0548" w:rsidP="007E0548">
      <w:pPr>
        <w:pStyle w:val="ListParagraph"/>
        <w:keepNext/>
        <w:numPr>
          <w:ilvl w:val="0"/>
          <w:numId w:val="6"/>
        </w:numPr>
        <w:spacing w:after="0" w:line="0" w:lineRule="atLeast"/>
        <w:jc w:val="both"/>
        <w:outlineLvl w:val="1"/>
        <w:rPr>
          <w:rFonts w:ascii="Arial" w:eastAsia="Times New Roman" w:hAnsi="Arial" w:cs="Arial"/>
          <w:bCs/>
          <w:sz w:val="20"/>
          <w:szCs w:val="20"/>
        </w:rPr>
      </w:pPr>
      <w:r>
        <w:rPr>
          <w:rFonts w:ascii="Arial" w:eastAsia="Times New Roman" w:hAnsi="Arial" w:cs="Arial"/>
          <w:bCs/>
          <w:sz w:val="20"/>
          <w:szCs w:val="20"/>
        </w:rPr>
        <w:t xml:space="preserve">Held-to-maturity </w:t>
      </w:r>
      <w:r w:rsidR="00C63208" w:rsidRPr="007E0548">
        <w:rPr>
          <w:rFonts w:ascii="Arial" w:eastAsia="Times New Roman" w:hAnsi="Arial" w:cs="Arial"/>
          <w:bCs/>
          <w:sz w:val="20"/>
          <w:szCs w:val="20"/>
        </w:rPr>
        <w:t>debt securities</w:t>
      </w:r>
    </w:p>
    <w:p w14:paraId="34234D62" w14:textId="1E7B5B9B" w:rsidR="007E0548" w:rsidRDefault="00811205" w:rsidP="007E0548">
      <w:pPr>
        <w:pStyle w:val="ListParagraph"/>
        <w:keepNext/>
        <w:numPr>
          <w:ilvl w:val="0"/>
          <w:numId w:val="6"/>
        </w:numPr>
        <w:spacing w:after="0" w:line="0" w:lineRule="atLeast"/>
        <w:jc w:val="both"/>
        <w:outlineLvl w:val="1"/>
        <w:rPr>
          <w:rFonts w:ascii="Arial" w:eastAsia="Times New Roman" w:hAnsi="Arial" w:cs="Arial"/>
          <w:bCs/>
          <w:sz w:val="20"/>
          <w:szCs w:val="20"/>
        </w:rPr>
      </w:pPr>
      <w:r>
        <w:rPr>
          <w:rFonts w:ascii="Arial" w:eastAsia="Times New Roman" w:hAnsi="Arial" w:cs="Arial"/>
          <w:bCs/>
          <w:sz w:val="20"/>
          <w:szCs w:val="20"/>
        </w:rPr>
        <w:t>Accounts</w:t>
      </w:r>
      <w:r w:rsidR="00C63208" w:rsidRPr="007E0548">
        <w:rPr>
          <w:rFonts w:ascii="Arial" w:eastAsia="Times New Roman" w:hAnsi="Arial" w:cs="Arial"/>
          <w:bCs/>
          <w:sz w:val="20"/>
          <w:szCs w:val="20"/>
        </w:rPr>
        <w:t xml:space="preserve"> receivable</w:t>
      </w:r>
      <w:r w:rsidR="007E0548">
        <w:rPr>
          <w:rFonts w:ascii="Arial" w:eastAsia="Times New Roman" w:hAnsi="Arial" w:cs="Arial"/>
          <w:bCs/>
          <w:sz w:val="20"/>
          <w:szCs w:val="20"/>
        </w:rPr>
        <w:t xml:space="preserve"> and contract assets that result from revenue transactions or other income</w:t>
      </w:r>
    </w:p>
    <w:p w14:paraId="1A149732" w14:textId="77777777" w:rsidR="007E0548" w:rsidRDefault="007E0548" w:rsidP="007E0548">
      <w:pPr>
        <w:pStyle w:val="ListParagraph"/>
        <w:keepNext/>
        <w:numPr>
          <w:ilvl w:val="0"/>
          <w:numId w:val="6"/>
        </w:numPr>
        <w:spacing w:after="0" w:line="0" w:lineRule="atLeast"/>
        <w:jc w:val="both"/>
        <w:outlineLvl w:val="1"/>
        <w:rPr>
          <w:rFonts w:ascii="Arial" w:eastAsia="Times New Roman" w:hAnsi="Arial" w:cs="Arial"/>
          <w:bCs/>
          <w:sz w:val="20"/>
          <w:szCs w:val="20"/>
        </w:rPr>
      </w:pPr>
      <w:r>
        <w:rPr>
          <w:rFonts w:ascii="Arial" w:eastAsia="Times New Roman" w:hAnsi="Arial" w:cs="Arial"/>
          <w:bCs/>
          <w:sz w:val="20"/>
          <w:szCs w:val="20"/>
        </w:rPr>
        <w:t>Loans to officers and employees</w:t>
      </w:r>
    </w:p>
    <w:p w14:paraId="689D0006" w14:textId="77777777" w:rsidR="007E0548" w:rsidRDefault="007E0548" w:rsidP="007E0548">
      <w:pPr>
        <w:keepNext/>
        <w:spacing w:after="0" w:line="0" w:lineRule="atLeast"/>
        <w:jc w:val="both"/>
        <w:outlineLvl w:val="1"/>
        <w:rPr>
          <w:rFonts w:ascii="Arial" w:eastAsia="Times New Roman" w:hAnsi="Arial" w:cs="Arial"/>
          <w:bCs/>
          <w:sz w:val="20"/>
          <w:szCs w:val="20"/>
        </w:rPr>
      </w:pPr>
    </w:p>
    <w:p w14:paraId="349EF15E" w14:textId="137736A5" w:rsidR="007411A3" w:rsidRPr="007E0548" w:rsidRDefault="00286A8B" w:rsidP="007E0548">
      <w:pPr>
        <w:keepNext/>
        <w:spacing w:after="0" w:line="0" w:lineRule="atLeast"/>
        <w:ind w:left="360"/>
        <w:jc w:val="both"/>
        <w:outlineLvl w:val="1"/>
        <w:rPr>
          <w:rFonts w:ascii="Arial" w:eastAsia="Times New Roman" w:hAnsi="Arial" w:cs="Arial"/>
          <w:bCs/>
          <w:sz w:val="20"/>
          <w:szCs w:val="20"/>
        </w:rPr>
      </w:pPr>
      <w:r>
        <w:rPr>
          <w:rFonts w:ascii="Arial" w:eastAsia="Times New Roman" w:hAnsi="Arial" w:cs="Arial"/>
          <w:bCs/>
          <w:sz w:val="20"/>
          <w:szCs w:val="20"/>
        </w:rPr>
        <w:t xml:space="preserve">Other instruments </w:t>
      </w:r>
      <w:r w:rsidR="007E0548">
        <w:rPr>
          <w:rFonts w:ascii="Arial" w:eastAsia="Times New Roman" w:hAnsi="Arial" w:cs="Arial"/>
          <w:bCs/>
          <w:sz w:val="20"/>
          <w:szCs w:val="20"/>
        </w:rPr>
        <w:t xml:space="preserve">within </w:t>
      </w:r>
      <w:r>
        <w:rPr>
          <w:rFonts w:ascii="Arial" w:eastAsia="Times New Roman" w:hAnsi="Arial" w:cs="Arial"/>
          <w:bCs/>
          <w:sz w:val="20"/>
          <w:szCs w:val="20"/>
        </w:rPr>
        <w:t>its</w:t>
      </w:r>
      <w:r w:rsidR="007E0548">
        <w:rPr>
          <w:rFonts w:ascii="Arial" w:eastAsia="Times New Roman" w:hAnsi="Arial" w:cs="Arial"/>
          <w:bCs/>
          <w:sz w:val="20"/>
          <w:szCs w:val="20"/>
        </w:rPr>
        <w:t xml:space="preserve"> scope i</w:t>
      </w:r>
      <w:r>
        <w:rPr>
          <w:rFonts w:ascii="Arial" w:eastAsia="Times New Roman" w:hAnsi="Arial" w:cs="Arial"/>
          <w:bCs/>
          <w:sz w:val="20"/>
          <w:szCs w:val="20"/>
        </w:rPr>
        <w:t>nclude</w:t>
      </w:r>
      <w:r w:rsidR="007E0548">
        <w:rPr>
          <w:rFonts w:ascii="Arial" w:eastAsia="Times New Roman" w:hAnsi="Arial" w:cs="Arial"/>
          <w:bCs/>
          <w:sz w:val="20"/>
          <w:szCs w:val="20"/>
        </w:rPr>
        <w:t>: n</w:t>
      </w:r>
      <w:r w:rsidR="00C63208" w:rsidRPr="007E0548">
        <w:rPr>
          <w:rFonts w:ascii="Arial" w:eastAsia="Times New Roman" w:hAnsi="Arial" w:cs="Arial"/>
          <w:bCs/>
          <w:sz w:val="20"/>
          <w:szCs w:val="20"/>
        </w:rPr>
        <w:t>et investments in leases</w:t>
      </w:r>
      <w:r w:rsidR="007E0548">
        <w:rPr>
          <w:rFonts w:ascii="Arial" w:eastAsia="Times New Roman" w:hAnsi="Arial" w:cs="Arial"/>
          <w:bCs/>
          <w:sz w:val="20"/>
          <w:szCs w:val="20"/>
        </w:rPr>
        <w:t xml:space="preserve"> recognized by a lessor</w:t>
      </w:r>
      <w:r w:rsidR="00C63208" w:rsidRPr="007E0548">
        <w:rPr>
          <w:rFonts w:ascii="Arial" w:eastAsia="Times New Roman" w:hAnsi="Arial" w:cs="Arial"/>
          <w:bCs/>
          <w:sz w:val="20"/>
          <w:szCs w:val="20"/>
        </w:rPr>
        <w:t xml:space="preserve">, off-balance sheet credit exposures, </w:t>
      </w:r>
      <w:r w:rsidR="007E0548">
        <w:rPr>
          <w:rFonts w:ascii="Arial" w:eastAsia="Times New Roman" w:hAnsi="Arial" w:cs="Arial"/>
          <w:bCs/>
          <w:sz w:val="20"/>
          <w:szCs w:val="20"/>
        </w:rPr>
        <w:t xml:space="preserve">and </w:t>
      </w:r>
      <w:r w:rsidR="00C63208" w:rsidRPr="007E0548">
        <w:rPr>
          <w:rFonts w:ascii="Arial" w:eastAsia="Times New Roman" w:hAnsi="Arial" w:cs="Arial"/>
          <w:bCs/>
          <w:sz w:val="20"/>
          <w:szCs w:val="20"/>
        </w:rPr>
        <w:t xml:space="preserve">reinsurance receivables. </w:t>
      </w:r>
    </w:p>
    <w:p w14:paraId="6CA8F24A" w14:textId="5CF025D1" w:rsidR="007411A3" w:rsidRDefault="007411A3" w:rsidP="00EC5926">
      <w:pPr>
        <w:keepNext/>
        <w:spacing w:after="0" w:line="0" w:lineRule="atLeast"/>
        <w:ind w:left="360"/>
        <w:jc w:val="both"/>
        <w:outlineLvl w:val="1"/>
        <w:rPr>
          <w:rFonts w:ascii="Arial" w:eastAsia="Times New Roman" w:hAnsi="Arial" w:cs="Arial"/>
          <w:bCs/>
          <w:sz w:val="20"/>
          <w:szCs w:val="20"/>
        </w:rPr>
      </w:pPr>
    </w:p>
    <w:p w14:paraId="03E79D12" w14:textId="3EEB008D" w:rsidR="00286A8B" w:rsidRDefault="003620CA" w:rsidP="00EC5926">
      <w:pPr>
        <w:keepNext/>
        <w:spacing w:after="0" w:line="0" w:lineRule="atLeast"/>
        <w:ind w:left="360"/>
        <w:jc w:val="both"/>
        <w:outlineLvl w:val="1"/>
        <w:rPr>
          <w:rFonts w:ascii="Arial" w:eastAsia="Times New Roman" w:hAnsi="Arial" w:cs="Arial"/>
          <w:bCs/>
          <w:sz w:val="20"/>
          <w:szCs w:val="20"/>
        </w:rPr>
      </w:pPr>
      <w:r>
        <w:rPr>
          <w:rFonts w:ascii="Arial" w:eastAsia="Times New Roman" w:hAnsi="Arial" w:cs="Arial"/>
          <w:bCs/>
          <w:sz w:val="20"/>
          <w:szCs w:val="20"/>
        </w:rPr>
        <w:t xml:space="preserve">The </w:t>
      </w:r>
      <w:r w:rsidRPr="006B5D39">
        <w:rPr>
          <w:rFonts w:ascii="Arial" w:eastAsia="Times New Roman" w:hAnsi="Arial" w:cs="Arial"/>
          <w:bCs/>
          <w:sz w:val="20"/>
          <w:szCs w:val="20"/>
          <w:u w:val="single"/>
        </w:rPr>
        <w:t>Company’s f</w:t>
      </w:r>
      <w:r w:rsidR="005A03DD" w:rsidRPr="006B5D39">
        <w:rPr>
          <w:rFonts w:ascii="Arial" w:eastAsia="Times New Roman" w:hAnsi="Arial" w:cs="Arial"/>
          <w:bCs/>
          <w:sz w:val="20"/>
          <w:szCs w:val="20"/>
          <w:u w:val="single"/>
        </w:rPr>
        <w:t xml:space="preserve">inancial assets subject to CECL are generally </w:t>
      </w:r>
      <w:r w:rsidR="00BF1C37" w:rsidRPr="006B5D39">
        <w:rPr>
          <w:rFonts w:ascii="Arial" w:eastAsia="Times New Roman" w:hAnsi="Arial" w:cs="Arial"/>
          <w:bCs/>
          <w:sz w:val="20"/>
          <w:szCs w:val="20"/>
          <w:u w:val="single"/>
        </w:rPr>
        <w:t xml:space="preserve">limited to </w:t>
      </w:r>
      <w:r w:rsidR="00811205">
        <w:rPr>
          <w:rFonts w:ascii="Arial" w:eastAsia="Times New Roman" w:hAnsi="Arial" w:cs="Arial"/>
          <w:bCs/>
          <w:sz w:val="20"/>
          <w:szCs w:val="20"/>
          <w:u w:val="single"/>
        </w:rPr>
        <w:t>accounts</w:t>
      </w:r>
      <w:r w:rsidR="00BF1C37" w:rsidRPr="006B5D39">
        <w:rPr>
          <w:rFonts w:ascii="Arial" w:eastAsia="Times New Roman" w:hAnsi="Arial" w:cs="Arial"/>
          <w:bCs/>
          <w:sz w:val="20"/>
          <w:szCs w:val="20"/>
          <w:u w:val="single"/>
        </w:rPr>
        <w:t xml:space="preserve"> receivable </w:t>
      </w:r>
      <w:r w:rsidR="005A03DD" w:rsidRPr="006B5D39">
        <w:rPr>
          <w:rFonts w:ascii="Arial" w:eastAsia="Times New Roman" w:hAnsi="Arial" w:cs="Arial"/>
          <w:bCs/>
          <w:sz w:val="20"/>
          <w:szCs w:val="20"/>
          <w:u w:val="single"/>
        </w:rPr>
        <w:t>and contracts assets that result from revenue transactions and other income</w:t>
      </w:r>
      <w:r w:rsidR="00DA0F77" w:rsidRPr="006B5D39">
        <w:rPr>
          <w:rFonts w:ascii="Arial" w:eastAsia="Times New Roman" w:hAnsi="Arial" w:cs="Arial"/>
          <w:bCs/>
          <w:sz w:val="20"/>
          <w:szCs w:val="20"/>
          <w:u w:val="single"/>
        </w:rPr>
        <w:t>, as i</w:t>
      </w:r>
      <w:r w:rsidRPr="006B5D39">
        <w:rPr>
          <w:rFonts w:ascii="Arial" w:eastAsia="Times New Roman" w:hAnsi="Arial" w:cs="Arial"/>
          <w:bCs/>
          <w:sz w:val="20"/>
          <w:szCs w:val="20"/>
          <w:u w:val="single"/>
        </w:rPr>
        <w:t xml:space="preserve">t generally </w:t>
      </w:r>
      <w:r w:rsidR="00DA0F77" w:rsidRPr="006B5D39">
        <w:rPr>
          <w:rFonts w:ascii="Arial" w:eastAsia="Times New Roman" w:hAnsi="Arial" w:cs="Arial"/>
          <w:bCs/>
          <w:sz w:val="20"/>
          <w:szCs w:val="20"/>
          <w:u w:val="single"/>
        </w:rPr>
        <w:t xml:space="preserve">does not </w:t>
      </w:r>
      <w:r w:rsidRPr="006B5D39">
        <w:rPr>
          <w:rFonts w:ascii="Arial" w:eastAsia="Times New Roman" w:hAnsi="Arial" w:cs="Arial"/>
          <w:bCs/>
          <w:sz w:val="20"/>
          <w:szCs w:val="20"/>
          <w:u w:val="single"/>
        </w:rPr>
        <w:t>hold other instruments as listed above</w:t>
      </w:r>
      <w:r>
        <w:rPr>
          <w:rFonts w:ascii="Arial" w:eastAsia="Times New Roman" w:hAnsi="Arial" w:cs="Arial"/>
          <w:bCs/>
          <w:sz w:val="20"/>
          <w:szCs w:val="20"/>
        </w:rPr>
        <w:t xml:space="preserve">. </w:t>
      </w:r>
      <w:r w:rsidR="0042625E">
        <w:rPr>
          <w:rFonts w:ascii="Arial" w:eastAsia="Times New Roman" w:hAnsi="Arial" w:cs="Arial"/>
          <w:bCs/>
          <w:sz w:val="20"/>
          <w:szCs w:val="20"/>
        </w:rPr>
        <w:t>Accordingly, w</w:t>
      </w:r>
      <w:r w:rsidR="00953BCD">
        <w:rPr>
          <w:rFonts w:ascii="Arial" w:eastAsia="Times New Roman" w:hAnsi="Arial" w:cs="Arial"/>
          <w:bCs/>
          <w:sz w:val="20"/>
          <w:szCs w:val="20"/>
        </w:rPr>
        <w:t xml:space="preserve">hile this policy applies to all financial assets within the scope of CECL, it is </w:t>
      </w:r>
      <w:r w:rsidR="00811205">
        <w:rPr>
          <w:rFonts w:ascii="Arial" w:eastAsia="Times New Roman" w:hAnsi="Arial" w:cs="Arial"/>
          <w:bCs/>
          <w:sz w:val="20"/>
          <w:szCs w:val="20"/>
        </w:rPr>
        <w:t xml:space="preserve">focused </w:t>
      </w:r>
      <w:r w:rsidR="00E608B6">
        <w:rPr>
          <w:rFonts w:ascii="Arial" w:eastAsia="Times New Roman" w:hAnsi="Arial" w:cs="Arial"/>
          <w:bCs/>
          <w:sz w:val="20"/>
          <w:szCs w:val="20"/>
        </w:rPr>
        <w:t xml:space="preserve">mainly </w:t>
      </w:r>
      <w:r w:rsidR="00811205">
        <w:rPr>
          <w:rFonts w:ascii="Arial" w:eastAsia="Times New Roman" w:hAnsi="Arial" w:cs="Arial"/>
          <w:bCs/>
          <w:sz w:val="20"/>
          <w:szCs w:val="20"/>
        </w:rPr>
        <w:t>on estimat</w:t>
      </w:r>
      <w:r w:rsidR="007B2CD3">
        <w:rPr>
          <w:rFonts w:ascii="Arial" w:eastAsia="Times New Roman" w:hAnsi="Arial" w:cs="Arial"/>
          <w:bCs/>
          <w:sz w:val="20"/>
          <w:szCs w:val="20"/>
        </w:rPr>
        <w:t>ing</w:t>
      </w:r>
      <w:r w:rsidR="00811205">
        <w:rPr>
          <w:rFonts w:ascii="Arial" w:eastAsia="Times New Roman" w:hAnsi="Arial" w:cs="Arial"/>
          <w:bCs/>
          <w:sz w:val="20"/>
          <w:szCs w:val="20"/>
        </w:rPr>
        <w:t xml:space="preserve"> expected credit losses for </w:t>
      </w:r>
      <w:r w:rsidR="00A004FC">
        <w:rPr>
          <w:rFonts w:ascii="Arial" w:eastAsia="Times New Roman" w:hAnsi="Arial" w:cs="Arial"/>
          <w:bCs/>
          <w:sz w:val="20"/>
          <w:szCs w:val="20"/>
        </w:rPr>
        <w:t xml:space="preserve">the Company’s </w:t>
      </w:r>
      <w:r w:rsidR="00811205">
        <w:rPr>
          <w:rFonts w:ascii="Arial" w:eastAsia="Times New Roman" w:hAnsi="Arial" w:cs="Arial"/>
          <w:bCs/>
          <w:sz w:val="20"/>
          <w:szCs w:val="20"/>
        </w:rPr>
        <w:t>accounts receivable</w:t>
      </w:r>
      <w:r w:rsidR="00953BCD">
        <w:rPr>
          <w:rFonts w:ascii="Arial" w:eastAsia="Times New Roman" w:hAnsi="Arial" w:cs="Arial"/>
          <w:bCs/>
          <w:sz w:val="20"/>
          <w:szCs w:val="20"/>
        </w:rPr>
        <w:t xml:space="preserve"> and contract assets</w:t>
      </w:r>
      <w:r w:rsidR="00811205">
        <w:rPr>
          <w:rFonts w:ascii="Arial" w:eastAsia="Times New Roman" w:hAnsi="Arial" w:cs="Arial"/>
          <w:bCs/>
          <w:sz w:val="20"/>
          <w:szCs w:val="20"/>
        </w:rPr>
        <w:t xml:space="preserve">. </w:t>
      </w:r>
    </w:p>
    <w:p w14:paraId="26DF2A2C" w14:textId="77777777" w:rsidR="007411A3" w:rsidRDefault="007411A3" w:rsidP="00EC5926">
      <w:pPr>
        <w:keepNext/>
        <w:spacing w:after="0" w:line="0" w:lineRule="atLeast"/>
        <w:ind w:left="360"/>
        <w:jc w:val="both"/>
        <w:outlineLvl w:val="1"/>
        <w:rPr>
          <w:rFonts w:ascii="Arial" w:eastAsia="Times New Roman" w:hAnsi="Arial" w:cs="Arial"/>
          <w:bCs/>
          <w:sz w:val="20"/>
          <w:szCs w:val="20"/>
        </w:rPr>
      </w:pPr>
    </w:p>
    <w:p w14:paraId="34C95B11" w14:textId="0097FEB6" w:rsidR="004D7D00" w:rsidRDefault="00C63208" w:rsidP="00EC5926">
      <w:pPr>
        <w:keepNext/>
        <w:spacing w:after="0" w:line="0" w:lineRule="atLeast"/>
        <w:ind w:left="360"/>
        <w:jc w:val="both"/>
        <w:outlineLvl w:val="1"/>
        <w:rPr>
          <w:rFonts w:ascii="Arial" w:eastAsia="Times New Roman" w:hAnsi="Arial" w:cs="Arial"/>
          <w:bCs/>
          <w:sz w:val="20"/>
          <w:szCs w:val="20"/>
        </w:rPr>
      </w:pPr>
      <w:r>
        <w:rPr>
          <w:rFonts w:ascii="Arial" w:eastAsia="Times New Roman" w:hAnsi="Arial" w:cs="Arial"/>
          <w:bCs/>
          <w:sz w:val="20"/>
          <w:szCs w:val="20"/>
        </w:rPr>
        <w:t>Bioventus</w:t>
      </w:r>
      <w:r w:rsidR="008266CC">
        <w:rPr>
          <w:rFonts w:ascii="Arial" w:eastAsia="Times New Roman" w:hAnsi="Arial" w:cs="Arial"/>
          <w:bCs/>
          <w:sz w:val="20"/>
          <w:szCs w:val="20"/>
        </w:rPr>
        <w:t xml:space="preserve"> provides credit to its customers in the normal course of its business.  </w:t>
      </w:r>
      <w:r w:rsidR="000E0A9B">
        <w:rPr>
          <w:rFonts w:ascii="Arial" w:eastAsia="Times New Roman" w:hAnsi="Arial" w:cs="Arial"/>
          <w:bCs/>
          <w:sz w:val="20"/>
          <w:szCs w:val="20"/>
        </w:rPr>
        <w:t>Accounts r</w:t>
      </w:r>
      <w:r w:rsidR="008266CC">
        <w:rPr>
          <w:rFonts w:ascii="Arial" w:eastAsia="Times New Roman" w:hAnsi="Arial" w:cs="Arial"/>
          <w:bCs/>
          <w:sz w:val="20"/>
          <w:szCs w:val="20"/>
        </w:rPr>
        <w:t>eceivable</w:t>
      </w:r>
      <w:r w:rsidR="003620CA">
        <w:rPr>
          <w:rFonts w:ascii="Arial" w:eastAsia="Times New Roman" w:hAnsi="Arial" w:cs="Arial"/>
          <w:bCs/>
          <w:sz w:val="20"/>
          <w:szCs w:val="20"/>
        </w:rPr>
        <w:t xml:space="preserve"> </w:t>
      </w:r>
      <w:r w:rsidR="008266CC">
        <w:rPr>
          <w:rFonts w:ascii="Arial" w:eastAsia="Times New Roman" w:hAnsi="Arial" w:cs="Arial"/>
          <w:bCs/>
          <w:sz w:val="20"/>
          <w:szCs w:val="20"/>
        </w:rPr>
        <w:t xml:space="preserve">are amounts due from customers recorded at net </w:t>
      </w:r>
      <w:r w:rsidR="004D7D00">
        <w:rPr>
          <w:rFonts w:ascii="Arial" w:eastAsia="Times New Roman" w:hAnsi="Arial" w:cs="Arial"/>
          <w:bCs/>
          <w:sz w:val="20"/>
          <w:szCs w:val="20"/>
        </w:rPr>
        <w:t xml:space="preserve">realizable value for product sold in the ordinary course of business </w:t>
      </w:r>
      <w:r w:rsidR="004D7D00" w:rsidRPr="000E0A9B">
        <w:rPr>
          <w:rFonts w:ascii="Arial" w:eastAsia="Times New Roman" w:hAnsi="Arial" w:cs="Arial"/>
          <w:bCs/>
          <w:sz w:val="20"/>
          <w:szCs w:val="20"/>
        </w:rPr>
        <w:t xml:space="preserve">without adjustment for any significant financing as </w:t>
      </w:r>
      <w:r w:rsidR="000E0A9B" w:rsidRPr="000E0A9B">
        <w:rPr>
          <w:rFonts w:ascii="Arial" w:eastAsia="Times New Roman" w:hAnsi="Arial" w:cs="Arial"/>
          <w:bCs/>
          <w:sz w:val="20"/>
          <w:szCs w:val="20"/>
        </w:rPr>
        <w:t xml:space="preserve">the customer invoice is generally paid within 90 days. </w:t>
      </w:r>
      <w:r w:rsidR="004D7D00" w:rsidRPr="000E0A9B">
        <w:rPr>
          <w:rFonts w:ascii="Arial" w:eastAsia="Times New Roman" w:hAnsi="Arial" w:cs="Arial"/>
          <w:bCs/>
          <w:sz w:val="20"/>
          <w:szCs w:val="20"/>
        </w:rPr>
        <w:t>Bioventus</w:t>
      </w:r>
      <w:r w:rsidR="004D7D00">
        <w:rPr>
          <w:rFonts w:ascii="Arial" w:eastAsia="Times New Roman" w:hAnsi="Arial" w:cs="Arial"/>
          <w:bCs/>
          <w:sz w:val="20"/>
          <w:szCs w:val="20"/>
        </w:rPr>
        <w:t xml:space="preserve"> also does not require collateral or other securities to support customer receivables. See </w:t>
      </w:r>
      <w:r w:rsidR="004D7D00" w:rsidRPr="00E27153">
        <w:rPr>
          <w:rFonts w:ascii="Arial" w:eastAsia="Times New Roman" w:hAnsi="Arial" w:cs="Arial"/>
          <w:bCs/>
          <w:i/>
          <w:sz w:val="20"/>
          <w:szCs w:val="20"/>
          <w:u w:val="single"/>
        </w:rPr>
        <w:t>Bioventus Global Revenue Recognition Policy</w:t>
      </w:r>
      <w:r w:rsidR="004D7D00">
        <w:rPr>
          <w:rFonts w:ascii="Arial" w:eastAsia="Times New Roman" w:hAnsi="Arial" w:cs="Arial"/>
          <w:bCs/>
          <w:sz w:val="20"/>
          <w:szCs w:val="20"/>
        </w:rPr>
        <w:t xml:space="preserve"> for further guidance.</w:t>
      </w:r>
    </w:p>
    <w:p w14:paraId="34983689" w14:textId="55D057E9" w:rsidR="008266CC" w:rsidRPr="00EC5926" w:rsidRDefault="004D7D00" w:rsidP="00EC5926">
      <w:pPr>
        <w:keepNext/>
        <w:spacing w:after="0" w:line="0" w:lineRule="atLeast"/>
        <w:ind w:left="360"/>
        <w:jc w:val="both"/>
        <w:outlineLvl w:val="1"/>
        <w:rPr>
          <w:rFonts w:ascii="Arial" w:eastAsia="Times New Roman" w:hAnsi="Arial" w:cs="Arial"/>
          <w:bCs/>
          <w:sz w:val="20"/>
          <w:szCs w:val="20"/>
        </w:rPr>
      </w:pPr>
      <w:r>
        <w:rPr>
          <w:rFonts w:ascii="Arial" w:eastAsia="Times New Roman" w:hAnsi="Arial" w:cs="Arial"/>
          <w:bCs/>
          <w:sz w:val="20"/>
          <w:szCs w:val="20"/>
        </w:rPr>
        <w:t xml:space="preserve"> </w:t>
      </w:r>
    </w:p>
    <w:p w14:paraId="3922DED9" w14:textId="74AFBAE3" w:rsidR="00EC5926" w:rsidRPr="00FD03A7" w:rsidRDefault="00635EF3" w:rsidP="00FD03A7">
      <w:pPr>
        <w:pStyle w:val="ListParagraph"/>
        <w:keepNext/>
        <w:numPr>
          <w:ilvl w:val="0"/>
          <w:numId w:val="5"/>
        </w:numPr>
        <w:spacing w:after="0" w:line="0" w:lineRule="atLeast"/>
        <w:jc w:val="both"/>
        <w:outlineLvl w:val="1"/>
        <w:rPr>
          <w:rFonts w:ascii="Century Gothic" w:eastAsia="Times New Roman" w:hAnsi="Century Gothic" w:cs="Arial"/>
          <w:b/>
          <w:bCs/>
          <w:sz w:val="20"/>
          <w:szCs w:val="20"/>
        </w:rPr>
      </w:pPr>
      <w:r>
        <w:rPr>
          <w:rFonts w:ascii="Century Gothic" w:eastAsia="Times New Roman" w:hAnsi="Century Gothic" w:cs="Arial"/>
          <w:b/>
          <w:bCs/>
          <w:sz w:val="20"/>
          <w:szCs w:val="20"/>
        </w:rPr>
        <w:t>Estimating the</w:t>
      </w:r>
      <w:r w:rsidR="00253EDD" w:rsidRPr="00FD03A7">
        <w:rPr>
          <w:rFonts w:ascii="Century Gothic" w:eastAsia="Times New Roman" w:hAnsi="Century Gothic" w:cs="Arial"/>
          <w:b/>
          <w:bCs/>
          <w:sz w:val="20"/>
          <w:szCs w:val="20"/>
        </w:rPr>
        <w:t xml:space="preserve"> A</w:t>
      </w:r>
      <w:r w:rsidR="00EC5926" w:rsidRPr="00FD03A7">
        <w:rPr>
          <w:rFonts w:ascii="Century Gothic" w:eastAsia="Times New Roman" w:hAnsi="Century Gothic" w:cs="Arial"/>
          <w:b/>
          <w:bCs/>
          <w:sz w:val="20"/>
          <w:szCs w:val="20"/>
        </w:rPr>
        <w:t xml:space="preserve">llowance </w:t>
      </w:r>
      <w:r w:rsidR="00253EDD" w:rsidRPr="00FD03A7">
        <w:rPr>
          <w:rFonts w:ascii="Century Gothic" w:eastAsia="Times New Roman" w:hAnsi="Century Gothic" w:cs="Arial"/>
          <w:b/>
          <w:bCs/>
          <w:sz w:val="20"/>
          <w:szCs w:val="20"/>
        </w:rPr>
        <w:t xml:space="preserve">for </w:t>
      </w:r>
      <w:r w:rsidR="00EC5926" w:rsidRPr="00FD03A7">
        <w:rPr>
          <w:rFonts w:ascii="Century Gothic" w:eastAsia="Times New Roman" w:hAnsi="Century Gothic" w:cs="Arial"/>
          <w:b/>
          <w:bCs/>
          <w:sz w:val="20"/>
          <w:szCs w:val="20"/>
        </w:rPr>
        <w:t xml:space="preserve">Expected </w:t>
      </w:r>
      <w:r w:rsidR="00253EDD" w:rsidRPr="00FD03A7">
        <w:rPr>
          <w:rFonts w:ascii="Century Gothic" w:eastAsia="Times New Roman" w:hAnsi="Century Gothic" w:cs="Arial"/>
          <w:b/>
          <w:bCs/>
          <w:sz w:val="20"/>
          <w:szCs w:val="20"/>
        </w:rPr>
        <w:t xml:space="preserve">Credit </w:t>
      </w:r>
      <w:r w:rsidR="00EC5926" w:rsidRPr="00FD03A7">
        <w:rPr>
          <w:rFonts w:ascii="Century Gothic" w:eastAsia="Times New Roman" w:hAnsi="Century Gothic" w:cs="Arial"/>
          <w:b/>
          <w:bCs/>
          <w:sz w:val="20"/>
          <w:szCs w:val="20"/>
        </w:rPr>
        <w:t>Los</w:t>
      </w:r>
      <w:r w:rsidR="00FD03A7">
        <w:rPr>
          <w:rFonts w:ascii="Century Gothic" w:eastAsia="Times New Roman" w:hAnsi="Century Gothic" w:cs="Arial"/>
          <w:b/>
          <w:bCs/>
          <w:sz w:val="20"/>
          <w:szCs w:val="20"/>
        </w:rPr>
        <w:t>s</w:t>
      </w:r>
      <w:r w:rsidR="00EC5926" w:rsidRPr="00FD03A7">
        <w:rPr>
          <w:rFonts w:ascii="Century Gothic" w:eastAsia="Times New Roman" w:hAnsi="Century Gothic" w:cs="Arial"/>
          <w:b/>
          <w:bCs/>
          <w:sz w:val="20"/>
          <w:szCs w:val="20"/>
        </w:rPr>
        <w:t>es</w:t>
      </w:r>
    </w:p>
    <w:p w14:paraId="56D949F9" w14:textId="793A8655" w:rsidR="00E73B10" w:rsidRDefault="00E73B10" w:rsidP="00EC5926">
      <w:pPr>
        <w:keepNext/>
        <w:spacing w:after="0" w:line="0" w:lineRule="atLeast"/>
        <w:ind w:left="360"/>
        <w:jc w:val="both"/>
        <w:outlineLvl w:val="1"/>
        <w:rPr>
          <w:rFonts w:ascii="Arial" w:eastAsia="Times New Roman" w:hAnsi="Arial" w:cs="Arial"/>
          <w:bCs/>
          <w:color w:val="8EAADB" w:themeColor="accent5" w:themeTint="99"/>
          <w:sz w:val="20"/>
          <w:szCs w:val="20"/>
        </w:rPr>
      </w:pPr>
    </w:p>
    <w:p w14:paraId="1194A65D" w14:textId="0B009BA7" w:rsidR="004C7321" w:rsidRDefault="00953BCD" w:rsidP="004C7321">
      <w:pPr>
        <w:keepNext/>
        <w:spacing w:after="0" w:line="0" w:lineRule="atLeast"/>
        <w:ind w:left="360"/>
        <w:jc w:val="both"/>
        <w:outlineLvl w:val="1"/>
        <w:rPr>
          <w:rFonts w:ascii="Arial" w:eastAsia="Times New Roman" w:hAnsi="Arial" w:cs="Arial"/>
          <w:bCs/>
          <w:sz w:val="20"/>
          <w:szCs w:val="20"/>
        </w:rPr>
      </w:pPr>
      <w:r>
        <w:rPr>
          <w:rFonts w:ascii="Arial" w:eastAsia="Times New Roman" w:hAnsi="Arial" w:cs="Arial"/>
          <w:bCs/>
          <w:sz w:val="20"/>
          <w:szCs w:val="20"/>
        </w:rPr>
        <w:t xml:space="preserve">The Company maintains an allowance for credit losses for its accounts receivable and contract assets. </w:t>
      </w:r>
      <w:r w:rsidR="00FF3FE7">
        <w:rPr>
          <w:rFonts w:ascii="Arial" w:eastAsia="Times New Roman" w:hAnsi="Arial" w:cs="Arial"/>
          <w:bCs/>
          <w:sz w:val="20"/>
          <w:szCs w:val="20"/>
        </w:rPr>
        <w:t>A</w:t>
      </w:r>
      <w:r w:rsidR="00103C90">
        <w:rPr>
          <w:rFonts w:ascii="Arial" w:eastAsia="Times New Roman" w:hAnsi="Arial" w:cs="Arial"/>
          <w:bCs/>
          <w:sz w:val="20"/>
          <w:szCs w:val="20"/>
        </w:rPr>
        <w:t xml:space="preserve">n </w:t>
      </w:r>
      <w:r w:rsidR="006E0E30">
        <w:rPr>
          <w:rFonts w:ascii="Arial" w:eastAsia="Times New Roman" w:hAnsi="Arial" w:cs="Arial"/>
          <w:bCs/>
          <w:sz w:val="20"/>
          <w:szCs w:val="20"/>
        </w:rPr>
        <w:t xml:space="preserve">aging </w:t>
      </w:r>
      <w:r w:rsidR="00103C90">
        <w:rPr>
          <w:rFonts w:ascii="Arial" w:eastAsia="Times New Roman" w:hAnsi="Arial" w:cs="Arial"/>
          <w:bCs/>
          <w:sz w:val="20"/>
          <w:szCs w:val="20"/>
        </w:rPr>
        <w:t xml:space="preserve">method </w:t>
      </w:r>
      <w:r w:rsidR="00FF7521">
        <w:rPr>
          <w:rFonts w:ascii="Arial" w:eastAsia="Times New Roman" w:hAnsi="Arial" w:cs="Arial"/>
          <w:bCs/>
          <w:sz w:val="20"/>
          <w:szCs w:val="20"/>
        </w:rPr>
        <w:t xml:space="preserve">is used to estimate the allowance, where </w:t>
      </w:r>
      <w:r w:rsidR="00434D30">
        <w:rPr>
          <w:rFonts w:ascii="Arial" w:eastAsia="Times New Roman" w:hAnsi="Arial" w:cs="Arial"/>
          <w:bCs/>
          <w:sz w:val="20"/>
          <w:szCs w:val="20"/>
        </w:rPr>
        <w:t xml:space="preserve">the </w:t>
      </w:r>
      <w:r w:rsidR="00FF7521">
        <w:rPr>
          <w:rFonts w:ascii="Arial" w:eastAsia="Times New Roman" w:hAnsi="Arial" w:cs="Arial"/>
          <w:bCs/>
          <w:sz w:val="20"/>
          <w:szCs w:val="20"/>
        </w:rPr>
        <w:t xml:space="preserve">receivables are pooled based on the levels of delinquency </w:t>
      </w:r>
      <w:r w:rsidR="006E0E30">
        <w:rPr>
          <w:rFonts w:ascii="Arial" w:eastAsia="Times New Roman" w:hAnsi="Arial" w:cs="Arial"/>
          <w:bCs/>
          <w:sz w:val="20"/>
          <w:szCs w:val="20"/>
        </w:rPr>
        <w:t>(</w:t>
      </w:r>
      <w:r w:rsidR="00FF7521">
        <w:rPr>
          <w:rFonts w:ascii="Arial" w:eastAsia="Times New Roman" w:hAnsi="Arial" w:cs="Arial"/>
          <w:bCs/>
          <w:sz w:val="20"/>
          <w:szCs w:val="20"/>
        </w:rPr>
        <w:t xml:space="preserve">e.g., </w:t>
      </w:r>
      <w:r w:rsidR="00103C90">
        <w:rPr>
          <w:rFonts w:ascii="Arial" w:eastAsia="Times New Roman" w:hAnsi="Arial" w:cs="Arial"/>
          <w:bCs/>
          <w:sz w:val="20"/>
          <w:szCs w:val="20"/>
        </w:rPr>
        <w:t>current, 1- 30 days</w:t>
      </w:r>
      <w:r w:rsidR="00FF7521">
        <w:rPr>
          <w:rFonts w:ascii="Arial" w:eastAsia="Times New Roman" w:hAnsi="Arial" w:cs="Arial"/>
          <w:bCs/>
          <w:sz w:val="20"/>
          <w:szCs w:val="20"/>
        </w:rPr>
        <w:t xml:space="preserve"> past due</w:t>
      </w:r>
      <w:r w:rsidR="00103C90">
        <w:rPr>
          <w:rFonts w:ascii="Arial" w:eastAsia="Times New Roman" w:hAnsi="Arial" w:cs="Arial"/>
          <w:bCs/>
          <w:sz w:val="20"/>
          <w:szCs w:val="20"/>
        </w:rPr>
        <w:t>, 31-60 days</w:t>
      </w:r>
      <w:r w:rsidR="00FF7521">
        <w:rPr>
          <w:rFonts w:ascii="Arial" w:eastAsia="Times New Roman" w:hAnsi="Arial" w:cs="Arial"/>
          <w:bCs/>
          <w:sz w:val="20"/>
          <w:szCs w:val="20"/>
        </w:rPr>
        <w:t xml:space="preserve"> past due</w:t>
      </w:r>
      <w:r w:rsidR="00103C90">
        <w:rPr>
          <w:rFonts w:ascii="Arial" w:eastAsia="Times New Roman" w:hAnsi="Arial" w:cs="Arial"/>
          <w:bCs/>
          <w:sz w:val="20"/>
          <w:szCs w:val="20"/>
        </w:rPr>
        <w:t>, 61-90 days</w:t>
      </w:r>
      <w:r w:rsidR="00FF7521">
        <w:rPr>
          <w:rFonts w:ascii="Arial" w:eastAsia="Times New Roman" w:hAnsi="Arial" w:cs="Arial"/>
          <w:bCs/>
          <w:sz w:val="20"/>
          <w:szCs w:val="20"/>
        </w:rPr>
        <w:t xml:space="preserve"> past due</w:t>
      </w:r>
      <w:r w:rsidR="00103C90">
        <w:rPr>
          <w:rFonts w:ascii="Arial" w:eastAsia="Times New Roman" w:hAnsi="Arial" w:cs="Arial"/>
          <w:bCs/>
          <w:sz w:val="20"/>
          <w:szCs w:val="20"/>
        </w:rPr>
        <w:t xml:space="preserve">, etc.) </w:t>
      </w:r>
      <w:r w:rsidR="00FF7521">
        <w:rPr>
          <w:rFonts w:ascii="Arial" w:eastAsia="Times New Roman" w:hAnsi="Arial" w:cs="Arial"/>
          <w:bCs/>
          <w:sz w:val="20"/>
          <w:szCs w:val="20"/>
        </w:rPr>
        <w:t xml:space="preserve">and applying historical loss rates, adjusted for current conditions and reasonable and supportable forecasts, to each pool. </w:t>
      </w:r>
      <w:r w:rsidR="004C7321">
        <w:rPr>
          <w:rFonts w:ascii="Arial" w:eastAsia="Times New Roman" w:hAnsi="Arial" w:cs="Arial"/>
          <w:bCs/>
          <w:sz w:val="20"/>
          <w:szCs w:val="20"/>
        </w:rPr>
        <w:t xml:space="preserve">The estimate covers the receivable’s entire contractual term from the date of </w:t>
      </w:r>
      <w:r w:rsidR="004C7321">
        <w:rPr>
          <w:rFonts w:ascii="Arial" w:eastAsia="Times New Roman" w:hAnsi="Arial" w:cs="Arial"/>
          <w:bCs/>
          <w:sz w:val="20"/>
          <w:szCs w:val="20"/>
        </w:rPr>
        <w:lastRenderedPageBreak/>
        <w:t xml:space="preserve">initial recognition of the receivable (i.e., credit losses are estimated for receivables that are current as well as delinquent balances). </w:t>
      </w:r>
    </w:p>
    <w:p w14:paraId="0EBEF935" w14:textId="77777777" w:rsidR="004C7321" w:rsidRDefault="004C7321" w:rsidP="004C7321">
      <w:pPr>
        <w:keepNext/>
        <w:spacing w:after="0" w:line="0" w:lineRule="atLeast"/>
        <w:ind w:left="360"/>
        <w:jc w:val="both"/>
        <w:outlineLvl w:val="1"/>
        <w:rPr>
          <w:rFonts w:ascii="Arial" w:eastAsia="Times New Roman" w:hAnsi="Arial" w:cs="Arial"/>
          <w:bCs/>
          <w:sz w:val="20"/>
          <w:szCs w:val="20"/>
        </w:rPr>
      </w:pPr>
    </w:p>
    <w:p w14:paraId="4F6B1B4D" w14:textId="17329E40" w:rsidR="004C7321" w:rsidRDefault="004C7321" w:rsidP="004C7321">
      <w:pPr>
        <w:keepNext/>
        <w:spacing w:after="0" w:line="0" w:lineRule="atLeast"/>
        <w:ind w:left="360"/>
        <w:jc w:val="both"/>
        <w:outlineLvl w:val="1"/>
        <w:rPr>
          <w:rFonts w:ascii="Arial" w:eastAsia="Times New Roman" w:hAnsi="Arial" w:cs="Arial"/>
          <w:bCs/>
          <w:sz w:val="20"/>
          <w:szCs w:val="20"/>
        </w:rPr>
      </w:pPr>
      <w:r>
        <w:rPr>
          <w:rFonts w:ascii="Arial" w:eastAsia="Times New Roman" w:hAnsi="Arial" w:cs="Arial"/>
          <w:bCs/>
          <w:sz w:val="20"/>
          <w:szCs w:val="20"/>
        </w:rPr>
        <w:t xml:space="preserve">The adequacy of the allowance is reassessed at each reporting period and the period-to period change in the allowance is recorded as either an increase in or reversal of credit loss expense in the current period income statement. </w:t>
      </w:r>
    </w:p>
    <w:p w14:paraId="5BAB713B" w14:textId="77777777" w:rsidR="004C7321" w:rsidRDefault="004C7321" w:rsidP="007B2CD3">
      <w:pPr>
        <w:keepNext/>
        <w:spacing w:after="0" w:line="0" w:lineRule="atLeast"/>
        <w:ind w:left="360"/>
        <w:jc w:val="both"/>
        <w:outlineLvl w:val="1"/>
        <w:rPr>
          <w:rFonts w:ascii="Arial" w:eastAsia="Times New Roman" w:hAnsi="Arial" w:cs="Arial"/>
          <w:bCs/>
          <w:sz w:val="20"/>
          <w:szCs w:val="20"/>
        </w:rPr>
      </w:pPr>
    </w:p>
    <w:p w14:paraId="622ACFF6" w14:textId="59B81C50" w:rsidR="007B2CD3" w:rsidRDefault="006E0E30" w:rsidP="007B2CD3">
      <w:pPr>
        <w:keepNext/>
        <w:spacing w:after="0" w:line="0" w:lineRule="atLeast"/>
        <w:ind w:left="360"/>
        <w:jc w:val="both"/>
        <w:outlineLvl w:val="1"/>
        <w:rPr>
          <w:rFonts w:ascii="Arial" w:eastAsia="Times New Roman" w:hAnsi="Arial" w:cs="Arial"/>
          <w:bCs/>
          <w:sz w:val="20"/>
          <w:szCs w:val="20"/>
        </w:rPr>
      </w:pPr>
      <w:r>
        <w:rPr>
          <w:rFonts w:ascii="Arial" w:eastAsia="Times New Roman" w:hAnsi="Arial" w:cs="Arial"/>
          <w:bCs/>
          <w:sz w:val="20"/>
          <w:szCs w:val="20"/>
        </w:rPr>
        <w:t xml:space="preserve">The process </w:t>
      </w:r>
      <w:r w:rsidR="00066856">
        <w:rPr>
          <w:rFonts w:ascii="Arial" w:eastAsia="Times New Roman" w:hAnsi="Arial" w:cs="Arial"/>
          <w:bCs/>
          <w:sz w:val="20"/>
          <w:szCs w:val="20"/>
        </w:rPr>
        <w:t xml:space="preserve">steps </w:t>
      </w:r>
      <w:r>
        <w:rPr>
          <w:rFonts w:ascii="Arial" w:eastAsia="Times New Roman" w:hAnsi="Arial" w:cs="Arial"/>
          <w:bCs/>
          <w:sz w:val="20"/>
          <w:szCs w:val="20"/>
        </w:rPr>
        <w:t xml:space="preserve">for estimating the </w:t>
      </w:r>
      <w:r w:rsidR="00FF3FE7">
        <w:rPr>
          <w:rFonts w:ascii="Arial" w:eastAsia="Times New Roman" w:hAnsi="Arial" w:cs="Arial"/>
          <w:bCs/>
          <w:sz w:val="20"/>
          <w:szCs w:val="20"/>
        </w:rPr>
        <w:t xml:space="preserve">allowance </w:t>
      </w:r>
      <w:r w:rsidR="00FF7521">
        <w:rPr>
          <w:rFonts w:ascii="Arial" w:eastAsia="Times New Roman" w:hAnsi="Arial" w:cs="Arial"/>
          <w:bCs/>
          <w:sz w:val="20"/>
          <w:szCs w:val="20"/>
        </w:rPr>
        <w:t>include</w:t>
      </w:r>
      <w:r w:rsidR="004C6DEE">
        <w:rPr>
          <w:rFonts w:ascii="Arial" w:eastAsia="Times New Roman" w:hAnsi="Arial" w:cs="Arial"/>
          <w:bCs/>
          <w:sz w:val="20"/>
          <w:szCs w:val="20"/>
        </w:rPr>
        <w:t xml:space="preserve">: </w:t>
      </w:r>
    </w:p>
    <w:p w14:paraId="2129BBF3" w14:textId="42622653" w:rsidR="004C6DEE" w:rsidRPr="00DE788F" w:rsidRDefault="004C6DEE" w:rsidP="004C6DEE">
      <w:pPr>
        <w:pStyle w:val="ListParagraph"/>
        <w:keepNext/>
        <w:numPr>
          <w:ilvl w:val="0"/>
          <w:numId w:val="7"/>
        </w:numPr>
        <w:spacing w:after="0" w:line="0" w:lineRule="atLeast"/>
        <w:jc w:val="both"/>
        <w:outlineLvl w:val="1"/>
        <w:rPr>
          <w:rFonts w:ascii="Arial" w:eastAsia="Times New Roman" w:hAnsi="Arial" w:cs="Arial"/>
          <w:bCs/>
          <w:sz w:val="20"/>
          <w:szCs w:val="20"/>
        </w:rPr>
      </w:pPr>
      <w:r w:rsidRPr="00C753AF">
        <w:rPr>
          <w:rFonts w:ascii="Arial" w:hAnsi="Arial" w:cs="Arial"/>
          <w:sz w:val="20"/>
          <w:szCs w:val="20"/>
          <w:u w:val="single"/>
        </w:rPr>
        <w:t>Pool</w:t>
      </w:r>
      <w:r w:rsidR="00066856">
        <w:rPr>
          <w:rFonts w:ascii="Arial" w:hAnsi="Arial" w:cs="Arial"/>
          <w:sz w:val="20"/>
          <w:szCs w:val="20"/>
          <w:u w:val="single"/>
        </w:rPr>
        <w:t>ing</w:t>
      </w:r>
      <w:r w:rsidRPr="00C753AF">
        <w:rPr>
          <w:rFonts w:ascii="Arial" w:hAnsi="Arial" w:cs="Arial"/>
          <w:sz w:val="20"/>
          <w:szCs w:val="20"/>
          <w:u w:val="single"/>
        </w:rPr>
        <w:t xml:space="preserve"> receivables</w:t>
      </w:r>
      <w:r w:rsidRPr="00DE788F">
        <w:rPr>
          <w:rFonts w:ascii="Arial" w:hAnsi="Arial" w:cs="Arial"/>
          <w:sz w:val="20"/>
          <w:szCs w:val="20"/>
        </w:rPr>
        <w:t xml:space="preserve"> with similar risk characteristics</w:t>
      </w:r>
    </w:p>
    <w:p w14:paraId="3DB237CC" w14:textId="0860AE61" w:rsidR="004C6DEE" w:rsidRPr="004C6DEE" w:rsidRDefault="004C6DEE" w:rsidP="004C6DEE">
      <w:pPr>
        <w:pStyle w:val="ListParagraph"/>
        <w:keepNext/>
        <w:numPr>
          <w:ilvl w:val="0"/>
          <w:numId w:val="7"/>
        </w:numPr>
        <w:spacing w:after="0" w:line="0" w:lineRule="atLeast"/>
        <w:jc w:val="both"/>
        <w:outlineLvl w:val="1"/>
        <w:rPr>
          <w:rFonts w:ascii="Arial" w:eastAsia="Times New Roman" w:hAnsi="Arial" w:cs="Arial"/>
          <w:bCs/>
          <w:sz w:val="20"/>
          <w:szCs w:val="20"/>
        </w:rPr>
      </w:pPr>
      <w:r w:rsidRPr="00C753AF">
        <w:rPr>
          <w:rFonts w:ascii="Arial" w:eastAsia="Times New Roman" w:hAnsi="Arial" w:cs="Arial"/>
          <w:bCs/>
          <w:sz w:val="20"/>
          <w:szCs w:val="20"/>
          <w:u w:val="single"/>
        </w:rPr>
        <w:t>Updat</w:t>
      </w:r>
      <w:r w:rsidR="00066856">
        <w:rPr>
          <w:rFonts w:ascii="Arial" w:eastAsia="Times New Roman" w:hAnsi="Arial" w:cs="Arial"/>
          <w:bCs/>
          <w:sz w:val="20"/>
          <w:szCs w:val="20"/>
          <w:u w:val="single"/>
        </w:rPr>
        <w:t>ing</w:t>
      </w:r>
      <w:r w:rsidRPr="00C753AF">
        <w:rPr>
          <w:rFonts w:ascii="Arial" w:eastAsia="Times New Roman" w:hAnsi="Arial" w:cs="Arial"/>
          <w:bCs/>
          <w:sz w:val="20"/>
          <w:szCs w:val="20"/>
          <w:u w:val="single"/>
        </w:rPr>
        <w:t xml:space="preserve"> historical loss rate data</w:t>
      </w:r>
      <w:r w:rsidR="00FA7B08">
        <w:rPr>
          <w:rFonts w:ascii="Arial" w:eastAsia="Times New Roman" w:hAnsi="Arial" w:cs="Arial"/>
          <w:bCs/>
          <w:sz w:val="20"/>
          <w:szCs w:val="20"/>
        </w:rPr>
        <w:t xml:space="preserve"> </w:t>
      </w:r>
      <w:r w:rsidR="005C6EE9">
        <w:rPr>
          <w:rFonts w:ascii="Arial" w:eastAsia="Times New Roman" w:hAnsi="Arial" w:cs="Arial"/>
          <w:bCs/>
          <w:sz w:val="20"/>
          <w:szCs w:val="20"/>
        </w:rPr>
        <w:t>–</w:t>
      </w:r>
      <w:r w:rsidR="00C753AF">
        <w:rPr>
          <w:rFonts w:ascii="Arial" w:eastAsia="Times New Roman" w:hAnsi="Arial" w:cs="Arial"/>
          <w:bCs/>
          <w:sz w:val="20"/>
          <w:szCs w:val="20"/>
        </w:rPr>
        <w:t xml:space="preserve"> </w:t>
      </w:r>
      <w:r w:rsidR="005C6EE9">
        <w:rPr>
          <w:rFonts w:ascii="Arial" w:eastAsia="Times New Roman" w:hAnsi="Arial" w:cs="Arial"/>
          <w:bCs/>
          <w:sz w:val="20"/>
          <w:szCs w:val="20"/>
        </w:rPr>
        <w:t xml:space="preserve">update at least quarterly </w:t>
      </w:r>
      <w:r w:rsidR="00DE0550">
        <w:rPr>
          <w:rFonts w:ascii="Arial" w:eastAsia="Times New Roman" w:hAnsi="Arial" w:cs="Arial"/>
          <w:bCs/>
          <w:sz w:val="20"/>
          <w:szCs w:val="20"/>
        </w:rPr>
        <w:t>t</w:t>
      </w:r>
      <w:r w:rsidR="00FA7B08">
        <w:rPr>
          <w:rFonts w:ascii="Arial" w:eastAsia="Times New Roman" w:hAnsi="Arial" w:cs="Arial"/>
          <w:bCs/>
          <w:sz w:val="20"/>
          <w:szCs w:val="20"/>
        </w:rPr>
        <w:t xml:space="preserve">he </w:t>
      </w:r>
      <w:r>
        <w:rPr>
          <w:rFonts w:ascii="Arial" w:eastAsia="Times New Roman" w:hAnsi="Arial" w:cs="Arial"/>
          <w:bCs/>
          <w:sz w:val="20"/>
          <w:szCs w:val="20"/>
        </w:rPr>
        <w:t>12-month roll rate analysis</w:t>
      </w:r>
      <w:r w:rsidR="00FA7B08">
        <w:rPr>
          <w:rFonts w:ascii="Arial" w:eastAsia="Times New Roman" w:hAnsi="Arial" w:cs="Arial"/>
          <w:bCs/>
          <w:sz w:val="20"/>
          <w:szCs w:val="20"/>
        </w:rPr>
        <w:t xml:space="preserve"> </w:t>
      </w:r>
      <w:r w:rsidR="005C6EE9">
        <w:rPr>
          <w:rFonts w:ascii="Arial" w:eastAsia="Times New Roman" w:hAnsi="Arial" w:cs="Arial"/>
          <w:bCs/>
          <w:sz w:val="20"/>
          <w:szCs w:val="20"/>
        </w:rPr>
        <w:t xml:space="preserve">that is </w:t>
      </w:r>
      <w:r w:rsidR="00D22936">
        <w:rPr>
          <w:rFonts w:ascii="Arial" w:eastAsia="Times New Roman" w:hAnsi="Arial" w:cs="Arial"/>
          <w:bCs/>
          <w:sz w:val="20"/>
          <w:szCs w:val="20"/>
        </w:rPr>
        <w:t>maintained by customer pool</w:t>
      </w:r>
      <w:r w:rsidR="005C6EE9">
        <w:rPr>
          <w:rFonts w:ascii="Arial" w:eastAsia="Times New Roman" w:hAnsi="Arial" w:cs="Arial"/>
          <w:bCs/>
          <w:sz w:val="20"/>
          <w:szCs w:val="20"/>
        </w:rPr>
        <w:t xml:space="preserve"> and</w:t>
      </w:r>
      <w:r w:rsidR="00D22936">
        <w:rPr>
          <w:rFonts w:ascii="Arial" w:eastAsia="Times New Roman" w:hAnsi="Arial" w:cs="Arial"/>
          <w:bCs/>
          <w:sz w:val="20"/>
          <w:szCs w:val="20"/>
        </w:rPr>
        <w:t xml:space="preserve"> </w:t>
      </w:r>
      <w:r w:rsidR="00FA7B08">
        <w:rPr>
          <w:rFonts w:ascii="Arial" w:eastAsia="Times New Roman" w:hAnsi="Arial" w:cs="Arial"/>
          <w:bCs/>
          <w:sz w:val="20"/>
          <w:szCs w:val="20"/>
        </w:rPr>
        <w:t xml:space="preserve">used to calculate </w:t>
      </w:r>
      <w:r w:rsidR="00D22936">
        <w:rPr>
          <w:rFonts w:ascii="Arial" w:eastAsia="Times New Roman" w:hAnsi="Arial" w:cs="Arial"/>
          <w:bCs/>
          <w:sz w:val="20"/>
          <w:szCs w:val="20"/>
        </w:rPr>
        <w:t xml:space="preserve">the </w:t>
      </w:r>
      <w:r w:rsidR="00FA7B08">
        <w:rPr>
          <w:rFonts w:ascii="Arial" w:eastAsia="Times New Roman" w:hAnsi="Arial" w:cs="Arial"/>
          <w:bCs/>
          <w:sz w:val="20"/>
          <w:szCs w:val="20"/>
        </w:rPr>
        <w:t>historical loss rates</w:t>
      </w:r>
      <w:r w:rsidR="00C753AF">
        <w:rPr>
          <w:rFonts w:ascii="Arial" w:eastAsia="Times New Roman" w:hAnsi="Arial" w:cs="Arial"/>
          <w:bCs/>
          <w:sz w:val="20"/>
          <w:szCs w:val="20"/>
        </w:rPr>
        <w:t>.</w:t>
      </w:r>
    </w:p>
    <w:p w14:paraId="591C191D" w14:textId="6EE8947B" w:rsidR="004C6DEE" w:rsidRPr="00DE788F" w:rsidRDefault="004C6DEE" w:rsidP="004C6DEE">
      <w:pPr>
        <w:pStyle w:val="ListParagraph"/>
        <w:keepNext/>
        <w:numPr>
          <w:ilvl w:val="0"/>
          <w:numId w:val="7"/>
        </w:numPr>
        <w:spacing w:after="0" w:line="0" w:lineRule="atLeast"/>
        <w:jc w:val="both"/>
        <w:outlineLvl w:val="1"/>
        <w:rPr>
          <w:rFonts w:ascii="Arial" w:eastAsia="Times New Roman" w:hAnsi="Arial" w:cs="Arial"/>
          <w:bCs/>
          <w:sz w:val="20"/>
          <w:szCs w:val="20"/>
        </w:rPr>
      </w:pPr>
      <w:r w:rsidRPr="00C753AF">
        <w:rPr>
          <w:rFonts w:ascii="Arial" w:hAnsi="Arial" w:cs="Arial"/>
          <w:sz w:val="20"/>
          <w:szCs w:val="20"/>
          <w:u w:val="single"/>
        </w:rPr>
        <w:t>Adjust</w:t>
      </w:r>
      <w:r w:rsidR="00066856">
        <w:rPr>
          <w:rFonts w:ascii="Arial" w:hAnsi="Arial" w:cs="Arial"/>
          <w:sz w:val="20"/>
          <w:szCs w:val="20"/>
          <w:u w:val="single"/>
        </w:rPr>
        <w:t>ing</w:t>
      </w:r>
      <w:r w:rsidRPr="00C753AF">
        <w:rPr>
          <w:rFonts w:ascii="Arial" w:hAnsi="Arial" w:cs="Arial"/>
          <w:sz w:val="20"/>
          <w:szCs w:val="20"/>
          <w:u w:val="single"/>
        </w:rPr>
        <w:t xml:space="preserve"> </w:t>
      </w:r>
      <w:r w:rsidR="00FA7B08" w:rsidRPr="00C753AF">
        <w:rPr>
          <w:rFonts w:ascii="Arial" w:hAnsi="Arial" w:cs="Arial"/>
          <w:sz w:val="20"/>
          <w:szCs w:val="20"/>
          <w:u w:val="single"/>
        </w:rPr>
        <w:t xml:space="preserve">historical loss rates </w:t>
      </w:r>
      <w:r w:rsidRPr="00C753AF">
        <w:rPr>
          <w:rFonts w:ascii="Arial" w:hAnsi="Arial" w:cs="Arial"/>
          <w:sz w:val="20"/>
          <w:szCs w:val="20"/>
          <w:u w:val="single"/>
        </w:rPr>
        <w:t>for asset-specific risk characteristics</w:t>
      </w:r>
      <w:r>
        <w:rPr>
          <w:rFonts w:ascii="Arial" w:hAnsi="Arial" w:cs="Arial"/>
          <w:sz w:val="20"/>
          <w:szCs w:val="20"/>
        </w:rPr>
        <w:t xml:space="preserve"> - </w:t>
      </w:r>
      <w:r w:rsidR="00C753AF">
        <w:rPr>
          <w:rFonts w:ascii="Arial" w:hAnsi="Arial" w:cs="Arial"/>
          <w:sz w:val="20"/>
          <w:szCs w:val="20"/>
        </w:rPr>
        <w:t>c</w:t>
      </w:r>
      <w:r w:rsidRPr="00DE788F">
        <w:rPr>
          <w:rFonts w:ascii="Arial" w:hAnsi="Arial" w:cs="Arial"/>
          <w:sz w:val="20"/>
          <w:szCs w:val="20"/>
        </w:rPr>
        <w:t xml:space="preserve">onsider whether historical loss rates </w:t>
      </w:r>
      <w:r w:rsidR="00FA7B08">
        <w:rPr>
          <w:rFonts w:ascii="Arial" w:hAnsi="Arial" w:cs="Arial"/>
          <w:sz w:val="20"/>
          <w:szCs w:val="20"/>
        </w:rPr>
        <w:t xml:space="preserve">calculated in the 12-month roll rate analysis </w:t>
      </w:r>
      <w:r w:rsidRPr="00DE788F">
        <w:rPr>
          <w:rFonts w:ascii="Arial" w:hAnsi="Arial" w:cs="Arial"/>
          <w:sz w:val="20"/>
          <w:szCs w:val="20"/>
        </w:rPr>
        <w:t xml:space="preserve">need to be adjusted for </w:t>
      </w:r>
      <w:r w:rsidR="00FA7B08">
        <w:rPr>
          <w:rFonts w:ascii="Arial" w:hAnsi="Arial" w:cs="Arial"/>
          <w:sz w:val="20"/>
          <w:szCs w:val="20"/>
        </w:rPr>
        <w:t>differences between the assets existing at the current period and assets including in the historical loss information being used (e.g., change in receivable  contractual terms</w:t>
      </w:r>
      <w:r w:rsidR="00C753AF">
        <w:rPr>
          <w:rFonts w:ascii="Arial" w:hAnsi="Arial" w:cs="Arial"/>
          <w:sz w:val="20"/>
          <w:szCs w:val="20"/>
        </w:rPr>
        <w:t xml:space="preserve">, </w:t>
      </w:r>
      <w:r w:rsidRPr="00DE788F">
        <w:rPr>
          <w:rFonts w:ascii="Arial" w:hAnsi="Arial" w:cs="Arial"/>
          <w:sz w:val="20"/>
          <w:szCs w:val="20"/>
        </w:rPr>
        <w:t>portfolio mix</w:t>
      </w:r>
      <w:r w:rsidR="00C753AF">
        <w:rPr>
          <w:rFonts w:ascii="Arial" w:hAnsi="Arial" w:cs="Arial"/>
          <w:sz w:val="20"/>
          <w:szCs w:val="20"/>
        </w:rPr>
        <w:t>, or credit lending practices).</w:t>
      </w:r>
    </w:p>
    <w:p w14:paraId="5AC20454" w14:textId="64AE3EE5" w:rsidR="00DE0550" w:rsidRPr="00DE0550" w:rsidRDefault="004C6DEE" w:rsidP="004C6DEE">
      <w:pPr>
        <w:pStyle w:val="ListParagraph"/>
        <w:keepNext/>
        <w:numPr>
          <w:ilvl w:val="0"/>
          <w:numId w:val="7"/>
        </w:numPr>
        <w:spacing w:after="0" w:line="0" w:lineRule="atLeast"/>
        <w:jc w:val="both"/>
        <w:outlineLvl w:val="1"/>
        <w:rPr>
          <w:rFonts w:ascii="Arial" w:eastAsia="Times New Roman" w:hAnsi="Arial" w:cs="Arial"/>
          <w:bCs/>
          <w:sz w:val="20"/>
          <w:szCs w:val="20"/>
        </w:rPr>
      </w:pPr>
      <w:r w:rsidRPr="00C753AF">
        <w:rPr>
          <w:rFonts w:ascii="Arial" w:hAnsi="Arial" w:cs="Arial"/>
          <w:sz w:val="20"/>
          <w:szCs w:val="20"/>
          <w:u w:val="single"/>
        </w:rPr>
        <w:t>Adjust</w:t>
      </w:r>
      <w:r w:rsidR="00066856">
        <w:rPr>
          <w:rFonts w:ascii="Arial" w:hAnsi="Arial" w:cs="Arial"/>
          <w:sz w:val="20"/>
          <w:szCs w:val="20"/>
          <w:u w:val="single"/>
        </w:rPr>
        <w:t>ing</w:t>
      </w:r>
      <w:r w:rsidRPr="00C753AF">
        <w:rPr>
          <w:rFonts w:ascii="Arial" w:hAnsi="Arial" w:cs="Arial"/>
          <w:sz w:val="20"/>
          <w:szCs w:val="20"/>
          <w:u w:val="single"/>
        </w:rPr>
        <w:t xml:space="preserve"> historical loss rates for </w:t>
      </w:r>
      <w:r w:rsidRPr="00DE0550">
        <w:rPr>
          <w:rFonts w:ascii="Arial" w:hAnsi="Arial" w:cs="Arial"/>
          <w:sz w:val="20"/>
          <w:szCs w:val="20"/>
          <w:u w:val="single"/>
        </w:rPr>
        <w:t>current conditions</w:t>
      </w:r>
      <w:r w:rsidR="00DE0550" w:rsidRPr="00DE0550">
        <w:rPr>
          <w:rFonts w:ascii="Arial" w:hAnsi="Arial" w:cs="Arial"/>
          <w:sz w:val="20"/>
          <w:szCs w:val="20"/>
        </w:rPr>
        <w:t xml:space="preserve"> – consider</w:t>
      </w:r>
      <w:r w:rsidR="00DE0550">
        <w:rPr>
          <w:rFonts w:ascii="Arial" w:hAnsi="Arial" w:cs="Arial"/>
          <w:sz w:val="20"/>
          <w:szCs w:val="20"/>
        </w:rPr>
        <w:t xml:space="preserve"> whether the historical loss rates should be adjusted for external economic factors at the reporting date that did not exist during the period the historical loss date being used (i.e., are the current economic conditions stronger or weaker than the historical data implies).</w:t>
      </w:r>
    </w:p>
    <w:p w14:paraId="25FC6473" w14:textId="444D3D39" w:rsidR="004C6DEE" w:rsidRPr="00DE0550" w:rsidRDefault="00DE0550" w:rsidP="00E9424A">
      <w:pPr>
        <w:pStyle w:val="ListParagraph"/>
        <w:keepNext/>
        <w:numPr>
          <w:ilvl w:val="0"/>
          <w:numId w:val="7"/>
        </w:numPr>
        <w:spacing w:after="0" w:line="0" w:lineRule="atLeast"/>
        <w:jc w:val="both"/>
        <w:outlineLvl w:val="1"/>
        <w:rPr>
          <w:rFonts w:ascii="Arial" w:eastAsia="Times New Roman" w:hAnsi="Arial" w:cs="Arial"/>
          <w:bCs/>
          <w:sz w:val="20"/>
          <w:szCs w:val="20"/>
        </w:rPr>
      </w:pPr>
      <w:r w:rsidRPr="00DE0550">
        <w:rPr>
          <w:rFonts w:ascii="Arial" w:hAnsi="Arial" w:cs="Arial"/>
          <w:sz w:val="20"/>
          <w:szCs w:val="20"/>
          <w:u w:val="single"/>
        </w:rPr>
        <w:t>Adjust</w:t>
      </w:r>
      <w:r w:rsidR="00066856">
        <w:rPr>
          <w:rFonts w:ascii="Arial" w:hAnsi="Arial" w:cs="Arial"/>
          <w:sz w:val="20"/>
          <w:szCs w:val="20"/>
          <w:u w:val="single"/>
        </w:rPr>
        <w:t>ing</w:t>
      </w:r>
      <w:r w:rsidRPr="00DE0550">
        <w:rPr>
          <w:rFonts w:ascii="Arial" w:hAnsi="Arial" w:cs="Arial"/>
          <w:sz w:val="20"/>
          <w:szCs w:val="20"/>
          <w:u w:val="single"/>
        </w:rPr>
        <w:t xml:space="preserve"> for reasonable and supportable forecasts</w:t>
      </w:r>
      <w:r w:rsidRPr="00DE0550">
        <w:rPr>
          <w:rFonts w:ascii="Arial" w:hAnsi="Arial" w:cs="Arial"/>
          <w:sz w:val="20"/>
          <w:szCs w:val="20"/>
        </w:rPr>
        <w:t xml:space="preserve"> – consider whether the historical loss rates should be adjusted for external economic factors that are expected to be different in future periods and are not already reflected in the historical loss information being used. </w:t>
      </w:r>
      <w:r w:rsidR="004C7321">
        <w:rPr>
          <w:rFonts w:ascii="Arial" w:hAnsi="Arial" w:cs="Arial"/>
          <w:sz w:val="20"/>
          <w:szCs w:val="20"/>
        </w:rPr>
        <w:t xml:space="preserve">However, </w:t>
      </w:r>
      <w:r w:rsidR="004C7321" w:rsidRPr="005C3E7D">
        <w:rPr>
          <w:rFonts w:ascii="Arial" w:hAnsi="Arial" w:cs="Arial"/>
          <w:i/>
          <w:sz w:val="20"/>
          <w:szCs w:val="20"/>
        </w:rPr>
        <w:t>r</w:t>
      </w:r>
      <w:r w:rsidR="004C6DEE" w:rsidRPr="005C3E7D">
        <w:rPr>
          <w:rFonts w:ascii="Arial" w:hAnsi="Arial" w:cs="Arial"/>
          <w:i/>
          <w:sz w:val="20"/>
          <w:szCs w:val="20"/>
        </w:rPr>
        <w:t>evert to historical loss rates</w:t>
      </w:r>
      <w:r w:rsidR="004C6DEE" w:rsidRPr="00DE0550">
        <w:rPr>
          <w:rFonts w:ascii="Arial" w:hAnsi="Arial" w:cs="Arial"/>
          <w:sz w:val="20"/>
          <w:szCs w:val="20"/>
        </w:rPr>
        <w:t xml:space="preserve"> for future periods beyond those that can be reasonably forecast</w:t>
      </w:r>
      <w:r w:rsidR="004C7321">
        <w:rPr>
          <w:rFonts w:ascii="Arial" w:hAnsi="Arial" w:cs="Arial"/>
          <w:sz w:val="20"/>
          <w:szCs w:val="20"/>
        </w:rPr>
        <w:t>.</w:t>
      </w:r>
      <w:r w:rsidR="004C6DEE" w:rsidRPr="00DE0550">
        <w:rPr>
          <w:rFonts w:ascii="Arial" w:hAnsi="Arial" w:cs="Arial"/>
          <w:sz w:val="20"/>
          <w:szCs w:val="20"/>
        </w:rPr>
        <w:t xml:space="preserve"> </w:t>
      </w:r>
    </w:p>
    <w:p w14:paraId="5EA64D5E" w14:textId="1D1B630B" w:rsidR="004C6DEE" w:rsidRPr="00DE788F" w:rsidRDefault="004C6DEE" w:rsidP="004C6DEE">
      <w:pPr>
        <w:pStyle w:val="ListParagraph"/>
        <w:keepNext/>
        <w:numPr>
          <w:ilvl w:val="0"/>
          <w:numId w:val="7"/>
        </w:numPr>
        <w:spacing w:after="0" w:line="0" w:lineRule="atLeast"/>
        <w:jc w:val="both"/>
        <w:outlineLvl w:val="1"/>
        <w:rPr>
          <w:rFonts w:ascii="Arial" w:eastAsia="Times New Roman" w:hAnsi="Arial" w:cs="Arial"/>
          <w:bCs/>
          <w:sz w:val="20"/>
          <w:szCs w:val="20"/>
        </w:rPr>
      </w:pPr>
      <w:r w:rsidRPr="00C753AF">
        <w:rPr>
          <w:rFonts w:ascii="Arial" w:hAnsi="Arial" w:cs="Arial"/>
          <w:sz w:val="20"/>
          <w:szCs w:val="20"/>
          <w:u w:val="single"/>
        </w:rPr>
        <w:t>Apply</w:t>
      </w:r>
      <w:r w:rsidR="00066856">
        <w:rPr>
          <w:rFonts w:ascii="Arial" w:hAnsi="Arial" w:cs="Arial"/>
          <w:sz w:val="20"/>
          <w:szCs w:val="20"/>
          <w:u w:val="single"/>
        </w:rPr>
        <w:t>ing</w:t>
      </w:r>
      <w:r w:rsidRPr="00C753AF">
        <w:rPr>
          <w:rFonts w:ascii="Arial" w:hAnsi="Arial" w:cs="Arial"/>
          <w:sz w:val="20"/>
          <w:szCs w:val="20"/>
          <w:u w:val="single"/>
        </w:rPr>
        <w:t xml:space="preserve"> </w:t>
      </w:r>
      <w:r w:rsidR="00C753AF" w:rsidRPr="00C753AF">
        <w:rPr>
          <w:rFonts w:ascii="Arial" w:hAnsi="Arial" w:cs="Arial"/>
          <w:sz w:val="20"/>
          <w:szCs w:val="20"/>
          <w:u w:val="single"/>
        </w:rPr>
        <w:t>revised loss rates</w:t>
      </w:r>
      <w:r w:rsidR="00C753AF">
        <w:rPr>
          <w:rFonts w:ascii="Arial" w:hAnsi="Arial" w:cs="Arial"/>
          <w:sz w:val="20"/>
          <w:szCs w:val="20"/>
        </w:rPr>
        <w:t xml:space="preserve"> </w:t>
      </w:r>
      <w:r w:rsidRPr="00DE788F">
        <w:rPr>
          <w:rFonts w:ascii="Arial" w:hAnsi="Arial" w:cs="Arial"/>
          <w:sz w:val="20"/>
          <w:szCs w:val="20"/>
        </w:rPr>
        <w:t xml:space="preserve">to the </w:t>
      </w:r>
      <w:r>
        <w:rPr>
          <w:rFonts w:ascii="Arial" w:hAnsi="Arial" w:cs="Arial"/>
          <w:sz w:val="20"/>
          <w:szCs w:val="20"/>
        </w:rPr>
        <w:t xml:space="preserve">accounts </w:t>
      </w:r>
      <w:r w:rsidRPr="00DE788F">
        <w:rPr>
          <w:rFonts w:ascii="Arial" w:hAnsi="Arial" w:cs="Arial"/>
          <w:sz w:val="20"/>
          <w:szCs w:val="20"/>
        </w:rPr>
        <w:t>receivable balance to calculate the allowance</w:t>
      </w:r>
      <w:r w:rsidR="004C7321">
        <w:rPr>
          <w:rFonts w:ascii="Arial" w:hAnsi="Arial" w:cs="Arial"/>
          <w:sz w:val="20"/>
          <w:szCs w:val="20"/>
        </w:rPr>
        <w:t>.</w:t>
      </w:r>
    </w:p>
    <w:p w14:paraId="667E8A19" w14:textId="7C0DA9C0" w:rsidR="007B2CD3" w:rsidRDefault="007B2CD3" w:rsidP="00E73B10">
      <w:pPr>
        <w:keepNext/>
        <w:spacing w:after="0" w:line="0" w:lineRule="atLeast"/>
        <w:ind w:left="360"/>
        <w:jc w:val="both"/>
        <w:outlineLvl w:val="1"/>
        <w:rPr>
          <w:rFonts w:ascii="Arial" w:eastAsia="Times New Roman" w:hAnsi="Arial" w:cs="Arial"/>
          <w:bCs/>
          <w:sz w:val="20"/>
          <w:szCs w:val="20"/>
        </w:rPr>
      </w:pPr>
    </w:p>
    <w:p w14:paraId="79399A32" w14:textId="7B9000B9" w:rsidR="00FF3FE7" w:rsidRDefault="005C3E7D" w:rsidP="00FF3FE7">
      <w:pPr>
        <w:spacing w:after="0" w:line="0" w:lineRule="atLeast"/>
        <w:ind w:left="360"/>
        <w:rPr>
          <w:rFonts w:ascii="Arial" w:hAnsi="Arial" w:cs="Arial"/>
          <w:sz w:val="20"/>
          <w:szCs w:val="20"/>
        </w:rPr>
      </w:pPr>
      <w:r>
        <w:rPr>
          <w:rFonts w:ascii="Arial" w:hAnsi="Arial" w:cs="Arial"/>
          <w:i/>
          <w:sz w:val="20"/>
          <w:szCs w:val="20"/>
          <w:u w:val="single"/>
        </w:rPr>
        <w:t>Pooling receivable</w:t>
      </w:r>
      <w:r w:rsidR="000E236F">
        <w:rPr>
          <w:rFonts w:ascii="Arial" w:hAnsi="Arial" w:cs="Arial"/>
          <w:i/>
          <w:sz w:val="20"/>
          <w:szCs w:val="20"/>
          <w:u w:val="single"/>
        </w:rPr>
        <w:t>s</w:t>
      </w:r>
      <w:r w:rsidR="00472BB2">
        <w:rPr>
          <w:rFonts w:ascii="Arial" w:hAnsi="Arial" w:cs="Arial"/>
          <w:i/>
          <w:sz w:val="20"/>
          <w:szCs w:val="20"/>
          <w:u w:val="single"/>
        </w:rPr>
        <w:t>:</w:t>
      </w:r>
      <w:r w:rsidR="00FF3FE7" w:rsidRPr="00FF3FE7">
        <w:rPr>
          <w:rFonts w:ascii="Arial" w:hAnsi="Arial" w:cs="Arial"/>
          <w:sz w:val="20"/>
          <w:szCs w:val="20"/>
        </w:rPr>
        <w:t xml:space="preserve"> </w:t>
      </w:r>
      <w:r w:rsidR="00790C0B" w:rsidRPr="00FD03A7">
        <w:rPr>
          <w:rFonts w:ascii="Arial" w:hAnsi="Arial" w:cs="Arial"/>
          <w:sz w:val="20"/>
          <w:szCs w:val="20"/>
        </w:rPr>
        <w:t xml:space="preserve"> </w:t>
      </w:r>
    </w:p>
    <w:p w14:paraId="3E2AC10D" w14:textId="77777777" w:rsidR="00FF3FE7" w:rsidRDefault="00FF3FE7" w:rsidP="00FF3FE7">
      <w:pPr>
        <w:spacing w:after="0" w:line="0" w:lineRule="atLeast"/>
        <w:ind w:left="360"/>
        <w:rPr>
          <w:rFonts w:ascii="Arial" w:hAnsi="Arial" w:cs="Arial"/>
          <w:sz w:val="20"/>
          <w:szCs w:val="20"/>
        </w:rPr>
      </w:pPr>
    </w:p>
    <w:p w14:paraId="5E79239E" w14:textId="122B92B5" w:rsidR="00821914" w:rsidRPr="004C599D" w:rsidRDefault="004C6DEE" w:rsidP="00821914">
      <w:pPr>
        <w:keepNext/>
        <w:spacing w:after="0" w:line="240" w:lineRule="auto"/>
        <w:ind w:left="360"/>
        <w:jc w:val="both"/>
        <w:outlineLvl w:val="1"/>
        <w:rPr>
          <w:rFonts w:ascii="Arial" w:eastAsia="Times New Roman" w:hAnsi="Arial" w:cs="Arial"/>
          <w:bCs/>
          <w:sz w:val="20"/>
          <w:szCs w:val="20"/>
        </w:rPr>
      </w:pPr>
      <w:r>
        <w:rPr>
          <w:rFonts w:ascii="Arial" w:hAnsi="Arial" w:cs="Arial"/>
          <w:sz w:val="20"/>
          <w:szCs w:val="20"/>
        </w:rPr>
        <w:t>A</w:t>
      </w:r>
      <w:r w:rsidR="00A000FE">
        <w:rPr>
          <w:rFonts w:ascii="Arial" w:hAnsi="Arial" w:cs="Arial"/>
          <w:sz w:val="20"/>
          <w:szCs w:val="20"/>
        </w:rPr>
        <w:t xml:space="preserve">ccounts receivable </w:t>
      </w:r>
      <w:r w:rsidR="00790C0B" w:rsidRPr="00FD03A7">
        <w:rPr>
          <w:rFonts w:ascii="Arial" w:hAnsi="Arial" w:cs="Arial"/>
          <w:sz w:val="20"/>
          <w:szCs w:val="20"/>
        </w:rPr>
        <w:t xml:space="preserve">that share similar risk characteristics (e.g., risk rating, type, size, term, geographical location, etc.) </w:t>
      </w:r>
      <w:r w:rsidR="004C599D">
        <w:rPr>
          <w:rFonts w:ascii="Arial" w:hAnsi="Arial" w:cs="Arial"/>
          <w:sz w:val="20"/>
          <w:szCs w:val="20"/>
        </w:rPr>
        <w:t xml:space="preserve">should be </w:t>
      </w:r>
      <w:r w:rsidR="00790C0B" w:rsidRPr="00FD03A7">
        <w:rPr>
          <w:rFonts w:ascii="Arial" w:hAnsi="Arial" w:cs="Arial"/>
          <w:sz w:val="20"/>
          <w:szCs w:val="20"/>
        </w:rPr>
        <w:t xml:space="preserve">evaluated on a collective (pool) basis. </w:t>
      </w:r>
      <w:r w:rsidR="00FF3FE7" w:rsidRPr="00FF3FE7">
        <w:rPr>
          <w:rFonts w:ascii="Arial" w:eastAsia="Times New Roman" w:hAnsi="Arial" w:cs="Arial"/>
          <w:bCs/>
          <w:sz w:val="20"/>
          <w:szCs w:val="20"/>
        </w:rPr>
        <w:t>In establishing the pools consideration should be given to customer credit scores and risk ratings, financial asset type, size and age of customer delinquency, geographic location, customer historical loss patterns and other supportable forecasts.</w:t>
      </w:r>
      <w:r w:rsidR="00FF3FE7">
        <w:rPr>
          <w:rFonts w:ascii="Arial" w:eastAsia="Times New Roman" w:hAnsi="Arial" w:cs="Arial"/>
          <w:bCs/>
          <w:sz w:val="20"/>
          <w:szCs w:val="20"/>
        </w:rPr>
        <w:t xml:space="preserve"> </w:t>
      </w:r>
      <w:r w:rsidR="00821914" w:rsidRPr="004C599D">
        <w:rPr>
          <w:rFonts w:ascii="Arial" w:eastAsia="Times New Roman" w:hAnsi="Arial" w:cs="Arial"/>
          <w:bCs/>
          <w:sz w:val="20"/>
          <w:szCs w:val="20"/>
        </w:rPr>
        <w:t>The Company</w:t>
      </w:r>
      <w:r w:rsidR="00821914">
        <w:rPr>
          <w:rFonts w:ascii="Arial" w:eastAsia="Times New Roman" w:hAnsi="Arial" w:cs="Arial"/>
          <w:bCs/>
          <w:sz w:val="20"/>
          <w:szCs w:val="20"/>
        </w:rPr>
        <w:t xml:space="preserve"> </w:t>
      </w:r>
      <w:r w:rsidR="00821914" w:rsidRPr="004C599D">
        <w:rPr>
          <w:rFonts w:ascii="Arial" w:eastAsia="Times New Roman" w:hAnsi="Arial" w:cs="Arial"/>
          <w:bCs/>
          <w:sz w:val="20"/>
          <w:szCs w:val="20"/>
        </w:rPr>
        <w:t xml:space="preserve">uses a combination of risk characteristics to </w:t>
      </w:r>
      <w:r w:rsidR="00821914" w:rsidRPr="004C599D">
        <w:rPr>
          <w:rFonts w:ascii="Arial" w:eastAsia="Times New Roman" w:hAnsi="Arial" w:cs="Arial"/>
          <w:bCs/>
          <w:sz w:val="20"/>
          <w:szCs w:val="20"/>
          <w:u w:val="single"/>
        </w:rPr>
        <w:t>pools its receivables</w:t>
      </w:r>
      <w:r w:rsidR="00F16FA3">
        <w:rPr>
          <w:rFonts w:ascii="Arial" w:eastAsia="Times New Roman" w:hAnsi="Arial" w:cs="Arial"/>
          <w:bCs/>
          <w:sz w:val="20"/>
          <w:szCs w:val="20"/>
          <w:u w:val="single"/>
        </w:rPr>
        <w:t>, which is</w:t>
      </w:r>
      <w:r w:rsidR="00821914" w:rsidRPr="004C599D">
        <w:rPr>
          <w:rFonts w:ascii="Arial" w:eastAsia="Times New Roman" w:hAnsi="Arial" w:cs="Arial"/>
          <w:bCs/>
          <w:sz w:val="20"/>
          <w:szCs w:val="20"/>
          <w:u w:val="single"/>
        </w:rPr>
        <w:t xml:space="preserve"> generally by geography market (US and International) and then by product and customer or payer type within those markets</w:t>
      </w:r>
      <w:r w:rsidR="00F16FA3">
        <w:rPr>
          <w:rFonts w:ascii="Arial" w:eastAsia="Times New Roman" w:hAnsi="Arial" w:cs="Arial"/>
          <w:bCs/>
          <w:sz w:val="20"/>
          <w:szCs w:val="20"/>
          <w:u w:val="single"/>
        </w:rPr>
        <w:t xml:space="preserve">. This pooling is </w:t>
      </w:r>
      <w:r w:rsidR="00821914" w:rsidRPr="004C599D">
        <w:rPr>
          <w:rFonts w:ascii="Arial" w:eastAsia="Times New Roman" w:hAnsi="Arial" w:cs="Arial"/>
          <w:bCs/>
          <w:sz w:val="20"/>
          <w:szCs w:val="20"/>
          <w:u w:val="single"/>
        </w:rPr>
        <w:t>predominantly driven by historical loss patterns within those markets</w:t>
      </w:r>
      <w:r w:rsidR="00821914" w:rsidRPr="004C599D">
        <w:rPr>
          <w:rFonts w:ascii="Arial" w:eastAsia="Times New Roman" w:hAnsi="Arial" w:cs="Arial"/>
          <w:bCs/>
          <w:sz w:val="20"/>
          <w:szCs w:val="20"/>
        </w:rPr>
        <w:t xml:space="preserve">. </w:t>
      </w:r>
    </w:p>
    <w:p w14:paraId="3CF6B50A" w14:textId="77777777" w:rsidR="00FF3FE7" w:rsidRDefault="00FF3FE7" w:rsidP="00FF3FE7">
      <w:pPr>
        <w:keepNext/>
        <w:spacing w:after="0" w:line="0" w:lineRule="atLeast"/>
        <w:ind w:left="360"/>
        <w:jc w:val="both"/>
        <w:outlineLvl w:val="1"/>
        <w:rPr>
          <w:rFonts w:ascii="Arial" w:hAnsi="Arial" w:cs="Arial"/>
          <w:sz w:val="20"/>
          <w:szCs w:val="20"/>
        </w:rPr>
      </w:pPr>
    </w:p>
    <w:p w14:paraId="464FCBD7" w14:textId="6CE6A502" w:rsidR="00FF3FE7" w:rsidRDefault="00FF3FE7" w:rsidP="00821914">
      <w:pPr>
        <w:keepNext/>
        <w:spacing w:after="0" w:line="240" w:lineRule="auto"/>
        <w:ind w:left="360"/>
        <w:jc w:val="both"/>
        <w:outlineLvl w:val="1"/>
        <w:rPr>
          <w:rFonts w:ascii="Arial" w:hAnsi="Arial" w:cs="Arial"/>
          <w:sz w:val="20"/>
          <w:szCs w:val="20"/>
        </w:rPr>
      </w:pPr>
      <w:r>
        <w:rPr>
          <w:rFonts w:ascii="Arial" w:hAnsi="Arial" w:cs="Arial"/>
          <w:sz w:val="20"/>
          <w:szCs w:val="20"/>
        </w:rPr>
        <w:t>A</w:t>
      </w:r>
      <w:r w:rsidR="00A000FE">
        <w:rPr>
          <w:rFonts w:ascii="Arial" w:hAnsi="Arial" w:cs="Arial"/>
          <w:sz w:val="20"/>
          <w:szCs w:val="20"/>
        </w:rPr>
        <w:t xml:space="preserve">ccounts receivable </w:t>
      </w:r>
      <w:r w:rsidR="00790C0B" w:rsidRPr="00C44D20">
        <w:rPr>
          <w:rFonts w:ascii="Arial" w:hAnsi="Arial" w:cs="Arial"/>
          <w:sz w:val="20"/>
          <w:szCs w:val="20"/>
        </w:rPr>
        <w:t xml:space="preserve">that do not have similar risk characteristics </w:t>
      </w:r>
      <w:r w:rsidR="00A000FE" w:rsidRPr="004C599D">
        <w:rPr>
          <w:rFonts w:ascii="Arial" w:hAnsi="Arial" w:cs="Arial"/>
          <w:sz w:val="20"/>
          <w:szCs w:val="20"/>
        </w:rPr>
        <w:t xml:space="preserve">should be removed from the pool and </w:t>
      </w:r>
      <w:r w:rsidR="00790C0B" w:rsidRPr="004C599D">
        <w:rPr>
          <w:rFonts w:ascii="Arial" w:hAnsi="Arial" w:cs="Arial"/>
          <w:sz w:val="20"/>
          <w:szCs w:val="20"/>
        </w:rPr>
        <w:t>evaluated individually</w:t>
      </w:r>
      <w:r w:rsidR="005C3E7D">
        <w:rPr>
          <w:rFonts w:ascii="Arial" w:hAnsi="Arial" w:cs="Arial"/>
          <w:sz w:val="20"/>
          <w:szCs w:val="20"/>
        </w:rPr>
        <w:t xml:space="preserve"> (i.e., individual </w:t>
      </w:r>
      <w:r w:rsidR="009838A8">
        <w:rPr>
          <w:rFonts w:ascii="Arial" w:hAnsi="Arial" w:cs="Arial"/>
          <w:sz w:val="20"/>
          <w:szCs w:val="20"/>
        </w:rPr>
        <w:t>customers, aka “s</w:t>
      </w:r>
      <w:r w:rsidR="005C3E7D">
        <w:rPr>
          <w:rFonts w:ascii="Arial" w:hAnsi="Arial" w:cs="Arial"/>
          <w:sz w:val="20"/>
          <w:szCs w:val="20"/>
        </w:rPr>
        <w:t xml:space="preserve">pecific </w:t>
      </w:r>
      <w:r w:rsidR="009838A8">
        <w:rPr>
          <w:rFonts w:ascii="Arial" w:hAnsi="Arial" w:cs="Arial"/>
          <w:sz w:val="20"/>
          <w:szCs w:val="20"/>
        </w:rPr>
        <w:t>reserves”</w:t>
      </w:r>
      <w:r w:rsidR="005C3E7D">
        <w:rPr>
          <w:rFonts w:ascii="Arial" w:hAnsi="Arial" w:cs="Arial"/>
          <w:sz w:val="20"/>
          <w:szCs w:val="20"/>
        </w:rPr>
        <w:t>)</w:t>
      </w:r>
      <w:r w:rsidR="00790C0B" w:rsidRPr="004C599D">
        <w:rPr>
          <w:rFonts w:ascii="Arial" w:hAnsi="Arial" w:cs="Arial"/>
          <w:sz w:val="20"/>
          <w:szCs w:val="20"/>
        </w:rPr>
        <w:t>.</w:t>
      </w:r>
      <w:r w:rsidR="00790C0B" w:rsidRPr="00FD03A7">
        <w:rPr>
          <w:rFonts w:ascii="Arial" w:hAnsi="Arial" w:cs="Arial"/>
          <w:sz w:val="20"/>
          <w:szCs w:val="20"/>
        </w:rPr>
        <w:t xml:space="preserve"> </w:t>
      </w:r>
      <w:r w:rsidR="005C3E7D">
        <w:rPr>
          <w:rFonts w:ascii="Arial" w:hAnsi="Arial" w:cs="Arial"/>
          <w:sz w:val="20"/>
          <w:szCs w:val="20"/>
        </w:rPr>
        <w:t xml:space="preserve">Those specific </w:t>
      </w:r>
      <w:r w:rsidR="009838A8">
        <w:rPr>
          <w:rFonts w:ascii="Arial" w:hAnsi="Arial" w:cs="Arial"/>
          <w:sz w:val="20"/>
          <w:szCs w:val="20"/>
        </w:rPr>
        <w:t>reserves</w:t>
      </w:r>
      <w:r w:rsidR="00A000FE">
        <w:rPr>
          <w:rFonts w:ascii="Arial" w:hAnsi="Arial" w:cs="Arial"/>
          <w:sz w:val="20"/>
          <w:szCs w:val="20"/>
        </w:rPr>
        <w:t xml:space="preserve"> are typically due </w:t>
      </w:r>
      <w:r w:rsidR="009838A8">
        <w:rPr>
          <w:rFonts w:ascii="Arial" w:hAnsi="Arial" w:cs="Arial"/>
          <w:sz w:val="20"/>
          <w:szCs w:val="20"/>
        </w:rPr>
        <w:t>to a</w:t>
      </w:r>
      <w:r w:rsidR="00A000FE">
        <w:rPr>
          <w:rFonts w:ascii="Arial" w:hAnsi="Arial" w:cs="Arial"/>
          <w:sz w:val="20"/>
          <w:szCs w:val="20"/>
        </w:rPr>
        <w:t xml:space="preserve"> deterioration in credit quality, such as the customer has filed for bankruptcy or experiencing cash flow difficulties (i.e., slipping payment experience). </w:t>
      </w:r>
    </w:p>
    <w:p w14:paraId="13682F1A" w14:textId="12592E97" w:rsidR="00FF3FE7" w:rsidRDefault="00FF3FE7" w:rsidP="00821914">
      <w:pPr>
        <w:keepNext/>
        <w:spacing w:after="0" w:line="240" w:lineRule="auto"/>
        <w:ind w:left="360"/>
        <w:jc w:val="both"/>
        <w:outlineLvl w:val="1"/>
        <w:rPr>
          <w:rFonts w:ascii="Arial" w:eastAsia="Times New Roman" w:hAnsi="Arial" w:cs="Arial"/>
          <w:bCs/>
          <w:sz w:val="20"/>
          <w:szCs w:val="20"/>
        </w:rPr>
      </w:pPr>
    </w:p>
    <w:p w14:paraId="025D1307" w14:textId="63982908" w:rsidR="005C6EE9" w:rsidRPr="005C6EE9" w:rsidRDefault="005C6EE9" w:rsidP="00821914">
      <w:pPr>
        <w:keepNext/>
        <w:spacing w:after="0" w:line="240" w:lineRule="auto"/>
        <w:ind w:left="360"/>
        <w:jc w:val="both"/>
        <w:outlineLvl w:val="1"/>
        <w:rPr>
          <w:rFonts w:ascii="Arial" w:eastAsia="Times New Roman" w:hAnsi="Arial" w:cs="Arial"/>
          <w:bCs/>
          <w:i/>
          <w:sz w:val="20"/>
          <w:szCs w:val="20"/>
          <w:u w:val="single"/>
        </w:rPr>
      </w:pPr>
      <w:r w:rsidRPr="005C6EE9">
        <w:rPr>
          <w:rFonts w:ascii="Arial" w:eastAsia="Times New Roman" w:hAnsi="Arial" w:cs="Arial"/>
          <w:bCs/>
          <w:i/>
          <w:sz w:val="20"/>
          <w:szCs w:val="20"/>
          <w:u w:val="single"/>
        </w:rPr>
        <w:t>Adjustments for reasonable and supportable forecasts:</w:t>
      </w:r>
    </w:p>
    <w:p w14:paraId="345FCF92" w14:textId="77777777" w:rsidR="005C6EE9" w:rsidRDefault="005C6EE9" w:rsidP="00821914">
      <w:pPr>
        <w:keepNext/>
        <w:spacing w:after="0" w:line="240" w:lineRule="auto"/>
        <w:ind w:left="360"/>
        <w:jc w:val="both"/>
        <w:outlineLvl w:val="1"/>
        <w:rPr>
          <w:rFonts w:ascii="Times New Roman" w:hAnsi="Times New Roman" w:cs="Times New Roman"/>
        </w:rPr>
      </w:pPr>
    </w:p>
    <w:p w14:paraId="5F6AF1F8" w14:textId="5FA9BCC8" w:rsidR="005C6EE9" w:rsidRPr="005C6EE9" w:rsidRDefault="005C6EE9" w:rsidP="00821914">
      <w:pPr>
        <w:keepNext/>
        <w:spacing w:after="0" w:line="240" w:lineRule="auto"/>
        <w:ind w:left="360"/>
        <w:jc w:val="both"/>
        <w:outlineLvl w:val="1"/>
        <w:rPr>
          <w:rFonts w:ascii="Arial" w:hAnsi="Arial" w:cs="Arial"/>
          <w:sz w:val="20"/>
          <w:szCs w:val="20"/>
        </w:rPr>
      </w:pPr>
      <w:r w:rsidRPr="005C6EE9">
        <w:rPr>
          <w:rFonts w:ascii="Arial" w:hAnsi="Arial" w:cs="Arial"/>
          <w:sz w:val="20"/>
          <w:szCs w:val="20"/>
        </w:rPr>
        <w:t xml:space="preserve">Due to the short-term nature of </w:t>
      </w:r>
      <w:r>
        <w:rPr>
          <w:rFonts w:ascii="Arial" w:hAnsi="Arial" w:cs="Arial"/>
          <w:sz w:val="20"/>
          <w:szCs w:val="20"/>
        </w:rPr>
        <w:t xml:space="preserve">most of the Company </w:t>
      </w:r>
      <w:r w:rsidRPr="005C6EE9">
        <w:rPr>
          <w:rFonts w:ascii="Arial" w:hAnsi="Arial" w:cs="Arial"/>
          <w:sz w:val="20"/>
          <w:szCs w:val="20"/>
        </w:rPr>
        <w:t>receivables (generally paid within 90 days), c</w:t>
      </w:r>
      <w:r>
        <w:rPr>
          <w:rFonts w:ascii="Arial" w:hAnsi="Arial" w:cs="Arial"/>
          <w:sz w:val="20"/>
          <w:szCs w:val="20"/>
        </w:rPr>
        <w:t xml:space="preserve">hanges to economic condition are generally </w:t>
      </w:r>
      <w:r w:rsidRPr="005C6EE9">
        <w:rPr>
          <w:rFonts w:ascii="Arial" w:hAnsi="Arial" w:cs="Arial"/>
          <w:sz w:val="20"/>
          <w:szCs w:val="20"/>
        </w:rPr>
        <w:t xml:space="preserve">not expected to have a material effect on its </w:t>
      </w:r>
      <w:r>
        <w:rPr>
          <w:rFonts w:ascii="Arial" w:hAnsi="Arial" w:cs="Arial"/>
          <w:sz w:val="20"/>
          <w:szCs w:val="20"/>
        </w:rPr>
        <w:t xml:space="preserve">allowance for credit losses </w:t>
      </w:r>
      <w:r w:rsidRPr="005C6EE9">
        <w:rPr>
          <w:rFonts w:ascii="Arial" w:hAnsi="Arial" w:cs="Arial"/>
          <w:sz w:val="20"/>
          <w:szCs w:val="20"/>
        </w:rPr>
        <w:t xml:space="preserve">unless the changes are significant (e.g., severe downturn in the economy).  Certain economic changes and business drivers </w:t>
      </w:r>
      <w:r>
        <w:rPr>
          <w:rFonts w:ascii="Arial" w:hAnsi="Arial" w:cs="Arial"/>
          <w:sz w:val="20"/>
          <w:szCs w:val="20"/>
        </w:rPr>
        <w:t xml:space="preserve">that </w:t>
      </w:r>
      <w:r w:rsidRPr="005C6EE9">
        <w:rPr>
          <w:rFonts w:ascii="Arial" w:hAnsi="Arial" w:cs="Arial"/>
          <w:sz w:val="20"/>
          <w:szCs w:val="20"/>
        </w:rPr>
        <w:t xml:space="preserve">such could have an impact depending on the severity should be reviewed and documented as to how this information was considered as part of the </w:t>
      </w:r>
      <w:r>
        <w:rPr>
          <w:rFonts w:ascii="Arial" w:hAnsi="Arial" w:cs="Arial"/>
          <w:sz w:val="20"/>
          <w:szCs w:val="20"/>
        </w:rPr>
        <w:t xml:space="preserve">allowance </w:t>
      </w:r>
      <w:r w:rsidRPr="005C6EE9">
        <w:rPr>
          <w:rFonts w:ascii="Arial" w:hAnsi="Arial" w:cs="Arial"/>
          <w:sz w:val="20"/>
          <w:szCs w:val="20"/>
        </w:rPr>
        <w:t xml:space="preserve">for credit losses calculation. </w:t>
      </w:r>
      <w:r w:rsidRPr="005C6EE9">
        <w:rPr>
          <w:rFonts w:ascii="Arial" w:hAnsi="Arial" w:cs="Arial"/>
          <w:i/>
          <w:sz w:val="20"/>
          <w:szCs w:val="20"/>
          <w:u w:val="single"/>
        </w:rPr>
        <w:t>Examples of economic and business drivers to consider should include: health care regulation changes, general insurance coverage changes, financial stability of foreign governments and significant and widespread unemployment rates</w:t>
      </w:r>
      <w:r>
        <w:rPr>
          <w:rFonts w:ascii="Arial" w:hAnsi="Arial" w:cs="Arial"/>
          <w:sz w:val="20"/>
          <w:szCs w:val="20"/>
        </w:rPr>
        <w:t>.</w:t>
      </w:r>
    </w:p>
    <w:p w14:paraId="1E5A9F15" w14:textId="18020269" w:rsidR="00790C0B" w:rsidRPr="004C599D" w:rsidRDefault="00790C0B" w:rsidP="00EC5926">
      <w:pPr>
        <w:spacing w:after="0" w:line="0" w:lineRule="atLeast"/>
        <w:ind w:left="360"/>
        <w:rPr>
          <w:rFonts w:ascii="Arial" w:hAnsi="Arial" w:cs="Arial"/>
          <w:sz w:val="20"/>
          <w:szCs w:val="20"/>
        </w:rPr>
      </w:pPr>
    </w:p>
    <w:p w14:paraId="4F272E53" w14:textId="1E4E611E" w:rsidR="006A63BE" w:rsidRDefault="006A63BE" w:rsidP="00EC5926">
      <w:pPr>
        <w:spacing w:after="0" w:line="0" w:lineRule="atLeast"/>
        <w:ind w:left="360"/>
        <w:rPr>
          <w:rFonts w:ascii="Arial" w:eastAsia="Times New Roman" w:hAnsi="Arial" w:cs="Arial"/>
          <w:sz w:val="20"/>
          <w:szCs w:val="20"/>
        </w:rPr>
      </w:pPr>
    </w:p>
    <w:p w14:paraId="5A64DE1E" w14:textId="77777777" w:rsidR="00472BB2" w:rsidRDefault="00472BB2" w:rsidP="00EC5926">
      <w:pPr>
        <w:spacing w:after="0" w:line="0" w:lineRule="atLeast"/>
        <w:ind w:left="360"/>
        <w:rPr>
          <w:rFonts w:ascii="Arial" w:eastAsia="Times New Roman" w:hAnsi="Arial" w:cs="Arial"/>
          <w:i/>
          <w:sz w:val="20"/>
          <w:szCs w:val="20"/>
          <w:u w:val="single"/>
        </w:rPr>
      </w:pPr>
    </w:p>
    <w:p w14:paraId="4880751A" w14:textId="77777777" w:rsidR="00472BB2" w:rsidRDefault="00472BB2" w:rsidP="00EC5926">
      <w:pPr>
        <w:spacing w:after="0" w:line="0" w:lineRule="atLeast"/>
        <w:ind w:left="360"/>
        <w:rPr>
          <w:rFonts w:ascii="Arial" w:eastAsia="Times New Roman" w:hAnsi="Arial" w:cs="Arial"/>
          <w:i/>
          <w:sz w:val="20"/>
          <w:szCs w:val="20"/>
          <w:u w:val="single"/>
        </w:rPr>
      </w:pPr>
    </w:p>
    <w:p w14:paraId="66BCE826" w14:textId="5AD56B41" w:rsidR="00825FD8" w:rsidRDefault="00227EDC" w:rsidP="00EC5926">
      <w:pPr>
        <w:spacing w:after="0" w:line="0" w:lineRule="atLeast"/>
        <w:ind w:left="360"/>
        <w:rPr>
          <w:rFonts w:ascii="Arial" w:eastAsia="Times New Roman" w:hAnsi="Arial" w:cs="Arial"/>
          <w:i/>
          <w:sz w:val="20"/>
          <w:szCs w:val="20"/>
          <w:u w:val="single"/>
        </w:rPr>
      </w:pPr>
      <w:r>
        <w:rPr>
          <w:rFonts w:ascii="Arial" w:eastAsia="Times New Roman" w:hAnsi="Arial" w:cs="Arial"/>
          <w:i/>
          <w:sz w:val="20"/>
          <w:szCs w:val="20"/>
          <w:u w:val="single"/>
        </w:rPr>
        <w:lastRenderedPageBreak/>
        <w:t>Remote risk of credit loss:</w:t>
      </w:r>
      <w:r w:rsidR="00F44CC0">
        <w:rPr>
          <w:rFonts w:ascii="Arial" w:eastAsia="Times New Roman" w:hAnsi="Arial" w:cs="Arial"/>
          <w:i/>
          <w:sz w:val="20"/>
          <w:szCs w:val="20"/>
          <w:u w:val="single"/>
        </w:rPr>
        <w:t xml:space="preserve"> </w:t>
      </w:r>
    </w:p>
    <w:p w14:paraId="1D9B39AD" w14:textId="77777777" w:rsidR="00E4255F" w:rsidRDefault="00E4255F" w:rsidP="00EC5926">
      <w:pPr>
        <w:spacing w:after="0" w:line="0" w:lineRule="atLeast"/>
        <w:ind w:left="360"/>
        <w:rPr>
          <w:rFonts w:ascii="Arial" w:eastAsia="Times New Roman" w:hAnsi="Arial" w:cs="Arial"/>
          <w:sz w:val="20"/>
          <w:szCs w:val="20"/>
        </w:rPr>
      </w:pPr>
    </w:p>
    <w:p w14:paraId="3040CAEA" w14:textId="570F2EEE" w:rsidR="00227EDC" w:rsidRDefault="00825FD8" w:rsidP="00EC5926">
      <w:pPr>
        <w:spacing w:after="0" w:line="0" w:lineRule="atLeast"/>
        <w:ind w:left="360"/>
        <w:rPr>
          <w:rFonts w:ascii="Arial" w:eastAsia="Times New Roman" w:hAnsi="Arial" w:cs="Arial"/>
          <w:sz w:val="20"/>
          <w:szCs w:val="20"/>
        </w:rPr>
      </w:pPr>
      <w:r>
        <w:rPr>
          <w:rFonts w:ascii="Arial" w:eastAsia="Times New Roman" w:hAnsi="Arial" w:cs="Arial"/>
          <w:sz w:val="20"/>
          <w:szCs w:val="20"/>
        </w:rPr>
        <w:t xml:space="preserve">An allowance for credit losses should be recognized </w:t>
      </w:r>
      <w:r w:rsidRPr="00E4255F">
        <w:rPr>
          <w:rFonts w:ascii="Arial" w:eastAsia="Times New Roman" w:hAnsi="Arial" w:cs="Arial"/>
          <w:sz w:val="20"/>
          <w:szCs w:val="20"/>
          <w:u w:val="single"/>
        </w:rPr>
        <w:t>even when the risk of loss is considered remote</w:t>
      </w:r>
      <w:r>
        <w:rPr>
          <w:rFonts w:ascii="Arial" w:eastAsia="Times New Roman" w:hAnsi="Arial" w:cs="Arial"/>
          <w:sz w:val="20"/>
          <w:szCs w:val="20"/>
        </w:rPr>
        <w:t xml:space="preserve">. </w:t>
      </w:r>
      <w:r w:rsidR="00227EDC">
        <w:rPr>
          <w:rFonts w:ascii="Arial" w:eastAsia="Times New Roman" w:hAnsi="Arial" w:cs="Arial"/>
          <w:sz w:val="20"/>
          <w:szCs w:val="20"/>
        </w:rPr>
        <w:t xml:space="preserve">The reason being is that even when a highly rated customer defaults, a loss will generally occur. </w:t>
      </w:r>
      <w:r w:rsidR="009838A8">
        <w:rPr>
          <w:rFonts w:ascii="Arial" w:eastAsia="Times New Roman" w:hAnsi="Arial" w:cs="Arial"/>
          <w:sz w:val="20"/>
          <w:szCs w:val="20"/>
        </w:rPr>
        <w:t xml:space="preserve">However, for customer receivable pools where the historical loss rate and short-term contract life of the receivables indicate that </w:t>
      </w:r>
      <w:r w:rsidR="00CC66AA">
        <w:rPr>
          <w:rFonts w:ascii="Arial" w:eastAsia="Times New Roman" w:hAnsi="Arial" w:cs="Arial"/>
          <w:sz w:val="20"/>
          <w:szCs w:val="20"/>
        </w:rPr>
        <w:t xml:space="preserve">the estimated </w:t>
      </w:r>
      <w:r w:rsidR="009838A8">
        <w:rPr>
          <w:rFonts w:ascii="Arial" w:eastAsia="Times New Roman" w:hAnsi="Arial" w:cs="Arial"/>
          <w:sz w:val="20"/>
          <w:szCs w:val="20"/>
        </w:rPr>
        <w:t xml:space="preserve">expected </w:t>
      </w:r>
      <w:r w:rsidR="00B87510">
        <w:rPr>
          <w:rFonts w:ascii="Arial" w:eastAsia="Times New Roman" w:hAnsi="Arial" w:cs="Arial"/>
          <w:sz w:val="20"/>
          <w:szCs w:val="20"/>
        </w:rPr>
        <w:t xml:space="preserve">credit </w:t>
      </w:r>
      <w:r w:rsidR="009838A8">
        <w:rPr>
          <w:rFonts w:ascii="Arial" w:eastAsia="Times New Roman" w:hAnsi="Arial" w:cs="Arial"/>
          <w:sz w:val="20"/>
          <w:szCs w:val="20"/>
        </w:rPr>
        <w:t xml:space="preserve">loss </w:t>
      </w:r>
      <w:r w:rsidR="00CC66AA">
        <w:rPr>
          <w:rFonts w:ascii="Arial" w:eastAsia="Times New Roman" w:hAnsi="Arial" w:cs="Arial"/>
          <w:sz w:val="20"/>
          <w:szCs w:val="20"/>
        </w:rPr>
        <w:t xml:space="preserve">would </w:t>
      </w:r>
      <w:r w:rsidR="009838A8">
        <w:rPr>
          <w:rFonts w:ascii="Arial" w:eastAsia="Times New Roman" w:hAnsi="Arial" w:cs="Arial"/>
          <w:sz w:val="20"/>
          <w:szCs w:val="20"/>
        </w:rPr>
        <w:t>be nominal</w:t>
      </w:r>
      <w:r w:rsidR="00CC66AA">
        <w:rPr>
          <w:rFonts w:ascii="Arial" w:eastAsia="Times New Roman" w:hAnsi="Arial" w:cs="Arial"/>
          <w:sz w:val="20"/>
          <w:szCs w:val="20"/>
        </w:rPr>
        <w:t xml:space="preserve"> for that pool individually </w:t>
      </w:r>
      <w:r w:rsidR="00B87510">
        <w:rPr>
          <w:rFonts w:ascii="Arial" w:eastAsia="Times New Roman" w:hAnsi="Arial" w:cs="Arial"/>
          <w:sz w:val="20"/>
          <w:szCs w:val="20"/>
        </w:rPr>
        <w:t xml:space="preserve">and </w:t>
      </w:r>
      <w:r w:rsidR="00CC66AA">
        <w:rPr>
          <w:rFonts w:ascii="Arial" w:eastAsia="Times New Roman" w:hAnsi="Arial" w:cs="Arial"/>
          <w:sz w:val="20"/>
          <w:szCs w:val="20"/>
        </w:rPr>
        <w:t>collectively with other customer pools with similar conditions</w:t>
      </w:r>
      <w:r w:rsidR="009838A8">
        <w:rPr>
          <w:rFonts w:ascii="Arial" w:eastAsia="Times New Roman" w:hAnsi="Arial" w:cs="Arial"/>
          <w:sz w:val="20"/>
          <w:szCs w:val="20"/>
        </w:rPr>
        <w:t xml:space="preserve">, recording an allowance may not be necessary. </w:t>
      </w:r>
    </w:p>
    <w:p w14:paraId="52747E2E" w14:textId="77777777" w:rsidR="00227EDC" w:rsidRDefault="00227EDC" w:rsidP="00EC5926">
      <w:pPr>
        <w:spacing w:after="0" w:line="0" w:lineRule="atLeast"/>
        <w:ind w:left="360"/>
        <w:rPr>
          <w:rFonts w:ascii="Arial" w:eastAsia="Times New Roman" w:hAnsi="Arial" w:cs="Arial"/>
          <w:sz w:val="20"/>
          <w:szCs w:val="20"/>
        </w:rPr>
      </w:pPr>
    </w:p>
    <w:p w14:paraId="6E891A58" w14:textId="22279A9B" w:rsidR="008B2948" w:rsidRPr="008B2948" w:rsidRDefault="009838A8" w:rsidP="00EC5926">
      <w:pPr>
        <w:spacing w:after="0" w:line="0" w:lineRule="atLeast"/>
        <w:ind w:left="360"/>
        <w:rPr>
          <w:rFonts w:ascii="Arial" w:eastAsia="Times New Roman" w:hAnsi="Arial" w:cs="Arial"/>
          <w:sz w:val="20"/>
          <w:szCs w:val="20"/>
          <w:u w:val="single"/>
        </w:rPr>
      </w:pPr>
      <w:r>
        <w:rPr>
          <w:rFonts w:ascii="Arial" w:eastAsia="Times New Roman" w:hAnsi="Arial" w:cs="Arial"/>
          <w:sz w:val="20"/>
          <w:szCs w:val="20"/>
        </w:rPr>
        <w:t>F</w:t>
      </w:r>
      <w:r w:rsidR="00825FD8">
        <w:rPr>
          <w:rFonts w:ascii="Arial" w:eastAsia="Times New Roman" w:hAnsi="Arial" w:cs="Arial"/>
          <w:sz w:val="20"/>
          <w:szCs w:val="20"/>
        </w:rPr>
        <w:t xml:space="preserve">or receivables </w:t>
      </w:r>
      <w:r w:rsidR="00E46C29">
        <w:rPr>
          <w:rFonts w:ascii="Arial" w:eastAsia="Times New Roman" w:hAnsi="Arial" w:cs="Arial"/>
          <w:sz w:val="20"/>
          <w:szCs w:val="20"/>
        </w:rPr>
        <w:t xml:space="preserve">in which </w:t>
      </w:r>
      <w:r w:rsidR="00F44CC0">
        <w:rPr>
          <w:rFonts w:ascii="Arial" w:eastAsia="Times New Roman" w:hAnsi="Arial" w:cs="Arial"/>
          <w:sz w:val="20"/>
          <w:szCs w:val="20"/>
        </w:rPr>
        <w:t xml:space="preserve">non-payment is expected to be </w:t>
      </w:r>
      <w:r w:rsidR="00825FD8">
        <w:rPr>
          <w:rFonts w:ascii="Arial" w:eastAsia="Times New Roman" w:hAnsi="Arial" w:cs="Arial"/>
          <w:sz w:val="20"/>
          <w:szCs w:val="20"/>
        </w:rPr>
        <w:t xml:space="preserve">zero even if the borrower defaults </w:t>
      </w:r>
      <w:r w:rsidR="00F44CC0">
        <w:rPr>
          <w:rFonts w:ascii="Arial" w:eastAsia="Times New Roman" w:hAnsi="Arial" w:cs="Arial"/>
          <w:sz w:val="20"/>
          <w:szCs w:val="20"/>
        </w:rPr>
        <w:t xml:space="preserve">no allowance would be required </w:t>
      </w:r>
      <w:r w:rsidR="00CC66AA">
        <w:rPr>
          <w:rFonts w:ascii="Arial" w:eastAsia="Times New Roman" w:hAnsi="Arial" w:cs="Arial"/>
          <w:sz w:val="20"/>
          <w:szCs w:val="20"/>
        </w:rPr>
        <w:t xml:space="preserve">under the </w:t>
      </w:r>
      <w:r w:rsidR="00F44CC0" w:rsidRPr="00CC66AA">
        <w:rPr>
          <w:rFonts w:ascii="Arial" w:eastAsia="Times New Roman" w:hAnsi="Arial" w:cs="Arial"/>
          <w:sz w:val="20"/>
          <w:szCs w:val="20"/>
          <w:u w:val="single"/>
        </w:rPr>
        <w:t>zero loss expectation exception</w:t>
      </w:r>
      <w:r w:rsidR="00F44CC0">
        <w:rPr>
          <w:rFonts w:ascii="Arial" w:eastAsia="Times New Roman" w:hAnsi="Arial" w:cs="Arial"/>
          <w:sz w:val="20"/>
          <w:szCs w:val="20"/>
        </w:rPr>
        <w:t xml:space="preserve">. This exception is </w:t>
      </w:r>
      <w:r w:rsidR="00825FD8">
        <w:rPr>
          <w:rFonts w:ascii="Arial" w:eastAsia="Times New Roman" w:hAnsi="Arial" w:cs="Arial"/>
          <w:sz w:val="20"/>
          <w:szCs w:val="20"/>
        </w:rPr>
        <w:t>limited to securities issue by or guaranteed by a government entity, or financial assets secured by collateral provided by the borrower</w:t>
      </w:r>
      <w:r w:rsidR="00CC66AA">
        <w:rPr>
          <w:rFonts w:ascii="Arial" w:eastAsia="Times New Roman" w:hAnsi="Arial" w:cs="Arial"/>
          <w:sz w:val="20"/>
          <w:szCs w:val="20"/>
        </w:rPr>
        <w:t>, and s</w:t>
      </w:r>
      <w:r w:rsidR="008B2948">
        <w:rPr>
          <w:rFonts w:ascii="Arial" w:eastAsia="Times New Roman" w:hAnsi="Arial" w:cs="Arial"/>
          <w:sz w:val="20"/>
          <w:szCs w:val="20"/>
        </w:rPr>
        <w:t>ince the Company has not historically held those type</w:t>
      </w:r>
      <w:r w:rsidR="00CC66AA">
        <w:rPr>
          <w:rFonts w:ascii="Arial" w:eastAsia="Times New Roman" w:hAnsi="Arial" w:cs="Arial"/>
          <w:sz w:val="20"/>
          <w:szCs w:val="20"/>
        </w:rPr>
        <w:t>s</w:t>
      </w:r>
      <w:r w:rsidR="008B2948">
        <w:rPr>
          <w:rFonts w:ascii="Arial" w:eastAsia="Times New Roman" w:hAnsi="Arial" w:cs="Arial"/>
          <w:sz w:val="20"/>
          <w:szCs w:val="20"/>
        </w:rPr>
        <w:t xml:space="preserve"> of financial assets, </w:t>
      </w:r>
      <w:r w:rsidR="00CC66AA">
        <w:rPr>
          <w:rFonts w:ascii="Arial" w:eastAsia="Times New Roman" w:hAnsi="Arial" w:cs="Arial"/>
          <w:sz w:val="20"/>
          <w:szCs w:val="20"/>
        </w:rPr>
        <w:t xml:space="preserve">applying </w:t>
      </w:r>
      <w:r w:rsidR="008B2948">
        <w:rPr>
          <w:rFonts w:ascii="Arial" w:eastAsia="Times New Roman" w:hAnsi="Arial" w:cs="Arial"/>
          <w:sz w:val="20"/>
          <w:szCs w:val="20"/>
        </w:rPr>
        <w:t xml:space="preserve">this exception </w:t>
      </w:r>
      <w:r w:rsidR="00CC66AA">
        <w:rPr>
          <w:rFonts w:ascii="Arial" w:eastAsia="Times New Roman" w:hAnsi="Arial" w:cs="Arial"/>
          <w:sz w:val="20"/>
          <w:szCs w:val="20"/>
        </w:rPr>
        <w:t>would be rare</w:t>
      </w:r>
      <w:r w:rsidR="008B2948">
        <w:rPr>
          <w:rFonts w:ascii="Arial" w:eastAsia="Times New Roman" w:hAnsi="Arial" w:cs="Arial"/>
          <w:sz w:val="20"/>
          <w:szCs w:val="20"/>
        </w:rPr>
        <w:t xml:space="preserve">. </w:t>
      </w:r>
      <w:r w:rsidR="008B2948" w:rsidRPr="008B2948">
        <w:rPr>
          <w:rFonts w:ascii="Arial" w:eastAsia="Times New Roman" w:hAnsi="Arial" w:cs="Arial"/>
          <w:sz w:val="20"/>
          <w:szCs w:val="20"/>
          <w:u w:val="single"/>
        </w:rPr>
        <w:t xml:space="preserve">Technical Accounting should be consulted when this exception is being considered. </w:t>
      </w:r>
    </w:p>
    <w:p w14:paraId="4C48E479" w14:textId="77777777" w:rsidR="008B2948" w:rsidRDefault="008B2948" w:rsidP="00EC5926">
      <w:pPr>
        <w:spacing w:after="0" w:line="0" w:lineRule="atLeast"/>
        <w:ind w:left="360"/>
        <w:rPr>
          <w:rFonts w:ascii="Arial" w:eastAsia="Times New Roman" w:hAnsi="Arial" w:cs="Arial"/>
          <w:sz w:val="20"/>
          <w:szCs w:val="20"/>
        </w:rPr>
      </w:pPr>
    </w:p>
    <w:p w14:paraId="2564803A" w14:textId="3D2FDA34" w:rsidR="005C3E7D" w:rsidRDefault="00B205EB" w:rsidP="00EC5926">
      <w:pPr>
        <w:spacing w:after="0" w:line="0" w:lineRule="atLeast"/>
        <w:ind w:left="360"/>
        <w:rPr>
          <w:rFonts w:ascii="Arial" w:eastAsia="Times New Roman" w:hAnsi="Arial" w:cs="Arial"/>
          <w:i/>
          <w:sz w:val="20"/>
          <w:szCs w:val="20"/>
          <w:u w:val="single"/>
        </w:rPr>
      </w:pPr>
      <w:r w:rsidRPr="005C3E7D">
        <w:rPr>
          <w:rFonts w:ascii="Arial" w:eastAsia="Times New Roman" w:hAnsi="Arial" w:cs="Arial"/>
          <w:i/>
          <w:sz w:val="20"/>
          <w:szCs w:val="20"/>
          <w:u w:val="single"/>
        </w:rPr>
        <w:t>Credit Risk vs. Variable</w:t>
      </w:r>
      <w:r w:rsidR="005C3E7D">
        <w:rPr>
          <w:rFonts w:ascii="Arial" w:eastAsia="Times New Roman" w:hAnsi="Arial" w:cs="Arial"/>
          <w:i/>
          <w:sz w:val="20"/>
          <w:szCs w:val="20"/>
          <w:u w:val="single"/>
        </w:rPr>
        <w:t xml:space="preserve"> Consideration</w:t>
      </w:r>
      <w:r w:rsidR="00472BB2">
        <w:rPr>
          <w:rFonts w:ascii="Arial" w:eastAsia="Times New Roman" w:hAnsi="Arial" w:cs="Arial"/>
          <w:i/>
          <w:sz w:val="20"/>
          <w:szCs w:val="20"/>
          <w:u w:val="single"/>
        </w:rPr>
        <w:t>:</w:t>
      </w:r>
    </w:p>
    <w:p w14:paraId="68DD2635" w14:textId="77777777" w:rsidR="005C3E7D" w:rsidRDefault="005C3E7D" w:rsidP="00EC5926">
      <w:pPr>
        <w:spacing w:after="0" w:line="0" w:lineRule="atLeast"/>
        <w:ind w:left="360"/>
        <w:rPr>
          <w:rFonts w:ascii="Arial" w:eastAsia="Times New Roman" w:hAnsi="Arial" w:cs="Arial"/>
          <w:sz w:val="20"/>
          <w:szCs w:val="20"/>
        </w:rPr>
      </w:pPr>
    </w:p>
    <w:p w14:paraId="3393A722" w14:textId="390A7B48" w:rsidR="00B205EB" w:rsidRPr="003654C0" w:rsidRDefault="00B205EB" w:rsidP="00B205EB">
      <w:pPr>
        <w:spacing w:after="0" w:line="0" w:lineRule="atLeast"/>
        <w:ind w:left="360"/>
        <w:rPr>
          <w:rFonts w:ascii="Arial" w:eastAsia="Times New Roman" w:hAnsi="Arial" w:cs="Arial"/>
          <w:i/>
          <w:sz w:val="20"/>
          <w:szCs w:val="20"/>
        </w:rPr>
      </w:pPr>
      <w:r>
        <w:rPr>
          <w:rFonts w:ascii="Arial" w:eastAsia="Times New Roman" w:hAnsi="Arial" w:cs="Arial"/>
          <w:sz w:val="20"/>
          <w:szCs w:val="20"/>
        </w:rPr>
        <w:t>The Company maintains reserves for estimat</w:t>
      </w:r>
      <w:r w:rsidR="000464BE">
        <w:rPr>
          <w:rFonts w:ascii="Arial" w:eastAsia="Times New Roman" w:hAnsi="Arial" w:cs="Arial"/>
          <w:sz w:val="20"/>
          <w:szCs w:val="20"/>
        </w:rPr>
        <w:t>ing</w:t>
      </w:r>
      <w:r>
        <w:rPr>
          <w:rFonts w:ascii="Arial" w:eastAsia="Times New Roman" w:hAnsi="Arial" w:cs="Arial"/>
          <w:sz w:val="20"/>
          <w:szCs w:val="20"/>
        </w:rPr>
        <w:t xml:space="preserve"> variable consideration </w:t>
      </w:r>
      <w:r w:rsidR="006A3949">
        <w:rPr>
          <w:rFonts w:ascii="Arial" w:eastAsia="Times New Roman" w:hAnsi="Arial" w:cs="Arial"/>
          <w:sz w:val="20"/>
          <w:szCs w:val="20"/>
        </w:rPr>
        <w:t xml:space="preserve">included in </w:t>
      </w:r>
      <w:r w:rsidR="00D56024">
        <w:rPr>
          <w:rFonts w:ascii="Arial" w:eastAsia="Times New Roman" w:hAnsi="Arial" w:cs="Arial"/>
          <w:sz w:val="20"/>
          <w:szCs w:val="20"/>
        </w:rPr>
        <w:t>its</w:t>
      </w:r>
      <w:r w:rsidR="006A3949">
        <w:rPr>
          <w:rFonts w:ascii="Arial" w:eastAsia="Times New Roman" w:hAnsi="Arial" w:cs="Arial"/>
          <w:sz w:val="20"/>
          <w:szCs w:val="20"/>
        </w:rPr>
        <w:t xml:space="preserve"> customer contracts. Common types of variable consideration include: </w:t>
      </w:r>
      <w:r w:rsidRPr="008A7E81">
        <w:rPr>
          <w:rFonts w:ascii="Arial" w:eastAsia="Times New Roman" w:hAnsi="Arial" w:cs="Arial"/>
          <w:sz w:val="20"/>
          <w:szCs w:val="20"/>
        </w:rPr>
        <w:t xml:space="preserve">discounts, rebates, returns, </w:t>
      </w:r>
      <w:r w:rsidR="006A3949">
        <w:rPr>
          <w:rFonts w:ascii="Arial" w:eastAsia="Times New Roman" w:hAnsi="Arial" w:cs="Arial"/>
          <w:sz w:val="20"/>
          <w:szCs w:val="20"/>
        </w:rPr>
        <w:t>price concessions (pertains mostly to our Exogen patient owned balances)</w:t>
      </w:r>
      <w:r w:rsidR="000464BE">
        <w:rPr>
          <w:rFonts w:ascii="Arial" w:eastAsia="Times New Roman" w:hAnsi="Arial" w:cs="Arial"/>
          <w:sz w:val="20"/>
          <w:szCs w:val="20"/>
        </w:rPr>
        <w:t xml:space="preserve">, </w:t>
      </w:r>
      <w:r w:rsidR="00A53A3C">
        <w:rPr>
          <w:rFonts w:ascii="Arial" w:eastAsia="Times New Roman" w:hAnsi="Arial" w:cs="Arial"/>
          <w:sz w:val="20"/>
          <w:szCs w:val="20"/>
        </w:rPr>
        <w:t>payers’</w:t>
      </w:r>
      <w:r w:rsidR="000464BE">
        <w:rPr>
          <w:rFonts w:ascii="Arial" w:eastAsia="Times New Roman" w:hAnsi="Arial" w:cs="Arial"/>
          <w:sz w:val="20"/>
          <w:szCs w:val="20"/>
        </w:rPr>
        <w:t xml:space="preserve"> contractual allowances</w:t>
      </w:r>
      <w:r w:rsidR="001D646B">
        <w:rPr>
          <w:rFonts w:ascii="Arial" w:eastAsia="Times New Roman" w:hAnsi="Arial" w:cs="Arial"/>
          <w:sz w:val="20"/>
          <w:szCs w:val="20"/>
        </w:rPr>
        <w:t>,</w:t>
      </w:r>
      <w:r w:rsidR="006A3949">
        <w:rPr>
          <w:rFonts w:ascii="Arial" w:eastAsia="Times New Roman" w:hAnsi="Arial" w:cs="Arial"/>
          <w:sz w:val="20"/>
          <w:szCs w:val="20"/>
        </w:rPr>
        <w:t xml:space="preserve"> </w:t>
      </w:r>
      <w:r w:rsidR="00917C17">
        <w:rPr>
          <w:rFonts w:ascii="Arial" w:eastAsia="Times New Roman" w:hAnsi="Arial" w:cs="Arial"/>
          <w:sz w:val="20"/>
          <w:szCs w:val="20"/>
        </w:rPr>
        <w:t xml:space="preserve">distributor </w:t>
      </w:r>
      <w:r w:rsidRPr="008A7E81">
        <w:rPr>
          <w:rFonts w:ascii="Arial" w:eastAsia="Times New Roman" w:hAnsi="Arial" w:cs="Arial"/>
          <w:sz w:val="20"/>
          <w:szCs w:val="20"/>
        </w:rPr>
        <w:t>chargebacks</w:t>
      </w:r>
      <w:r w:rsidR="00917C17">
        <w:rPr>
          <w:rFonts w:ascii="Arial" w:eastAsia="Times New Roman" w:hAnsi="Arial" w:cs="Arial"/>
          <w:sz w:val="20"/>
          <w:szCs w:val="20"/>
        </w:rPr>
        <w:t xml:space="preserve"> and third-party payer settlements</w:t>
      </w:r>
      <w:r w:rsidR="006A3949">
        <w:rPr>
          <w:rFonts w:ascii="Arial" w:eastAsia="Times New Roman" w:hAnsi="Arial" w:cs="Arial"/>
          <w:sz w:val="20"/>
          <w:szCs w:val="20"/>
        </w:rPr>
        <w:t xml:space="preserve"> (applies to US Exogen reimbursement orders, only). </w:t>
      </w:r>
      <w:r w:rsidR="006A3949" w:rsidRPr="00B87510">
        <w:rPr>
          <w:rFonts w:ascii="Arial" w:eastAsia="Times New Roman" w:hAnsi="Arial" w:cs="Arial"/>
          <w:b/>
          <w:sz w:val="20"/>
          <w:szCs w:val="20"/>
        </w:rPr>
        <w:t xml:space="preserve">The amount of variable consideration should be </w:t>
      </w:r>
      <w:r w:rsidRPr="00B87510">
        <w:rPr>
          <w:rFonts w:ascii="Arial" w:eastAsia="Times New Roman" w:hAnsi="Arial" w:cs="Arial"/>
          <w:b/>
          <w:sz w:val="20"/>
          <w:szCs w:val="20"/>
        </w:rPr>
        <w:t xml:space="preserve">estimated and </w:t>
      </w:r>
      <w:r w:rsidR="00347993" w:rsidRPr="00B87510">
        <w:rPr>
          <w:rFonts w:ascii="Arial" w:eastAsia="Times New Roman" w:hAnsi="Arial" w:cs="Arial"/>
          <w:b/>
          <w:sz w:val="20"/>
          <w:szCs w:val="20"/>
        </w:rPr>
        <w:t>the reserve adjusted</w:t>
      </w:r>
      <w:r w:rsidR="008B144F" w:rsidRPr="00B87510">
        <w:rPr>
          <w:rFonts w:ascii="Arial" w:eastAsia="Times New Roman" w:hAnsi="Arial" w:cs="Arial"/>
          <w:b/>
          <w:sz w:val="20"/>
          <w:szCs w:val="20"/>
        </w:rPr>
        <w:t xml:space="preserve"> (with offset to revenue)</w:t>
      </w:r>
      <w:r w:rsidR="00EA5A6B" w:rsidRPr="00B87510">
        <w:rPr>
          <w:rFonts w:ascii="Arial" w:eastAsia="Times New Roman" w:hAnsi="Arial" w:cs="Arial"/>
          <w:b/>
          <w:sz w:val="20"/>
          <w:szCs w:val="20"/>
        </w:rPr>
        <w:t xml:space="preserve">, </w:t>
      </w:r>
      <w:r w:rsidR="00D56024" w:rsidRPr="00B87510">
        <w:rPr>
          <w:rFonts w:ascii="Arial" w:eastAsia="Times New Roman" w:hAnsi="Arial" w:cs="Arial"/>
          <w:b/>
          <w:sz w:val="20"/>
          <w:szCs w:val="20"/>
        </w:rPr>
        <w:t xml:space="preserve">prior to estimating </w:t>
      </w:r>
      <w:r w:rsidR="00347993" w:rsidRPr="00B87510">
        <w:rPr>
          <w:rFonts w:ascii="Arial" w:eastAsia="Times New Roman" w:hAnsi="Arial" w:cs="Arial"/>
          <w:b/>
          <w:sz w:val="20"/>
          <w:szCs w:val="20"/>
        </w:rPr>
        <w:t>the allowance for credit losses</w:t>
      </w:r>
      <w:r w:rsidR="00347993" w:rsidRPr="00EA5A6B">
        <w:rPr>
          <w:rFonts w:ascii="Arial" w:eastAsia="Times New Roman" w:hAnsi="Arial" w:cs="Arial"/>
          <w:sz w:val="20"/>
          <w:szCs w:val="20"/>
        </w:rPr>
        <w:t xml:space="preserve">. </w:t>
      </w:r>
      <w:r w:rsidR="003654C0" w:rsidRPr="003654C0">
        <w:rPr>
          <w:rFonts w:ascii="Arial" w:eastAsia="Times New Roman" w:hAnsi="Arial" w:cs="Arial"/>
          <w:i/>
          <w:sz w:val="20"/>
          <w:szCs w:val="20"/>
        </w:rPr>
        <w:t>Refer to the Bioventus Global Revenue Recognition Policy for further information.</w:t>
      </w:r>
    </w:p>
    <w:p w14:paraId="67F863E6" w14:textId="691C5BF6" w:rsidR="00B205EB" w:rsidRDefault="00B205EB" w:rsidP="008A7E81">
      <w:pPr>
        <w:spacing w:after="0" w:line="0" w:lineRule="atLeast"/>
        <w:ind w:left="360"/>
        <w:rPr>
          <w:rFonts w:ascii="Arial" w:eastAsia="Times New Roman" w:hAnsi="Arial" w:cs="Arial"/>
          <w:sz w:val="20"/>
          <w:szCs w:val="20"/>
        </w:rPr>
      </w:pPr>
      <w:r>
        <w:rPr>
          <w:rFonts w:ascii="Arial" w:eastAsia="Times New Roman" w:hAnsi="Arial" w:cs="Arial"/>
          <w:sz w:val="20"/>
          <w:szCs w:val="20"/>
        </w:rPr>
        <w:t xml:space="preserve"> </w:t>
      </w:r>
    </w:p>
    <w:p w14:paraId="54970BF7" w14:textId="510204BD" w:rsidR="008A7E81" w:rsidRPr="008A7E81" w:rsidRDefault="008A7E81" w:rsidP="008A7E81">
      <w:pPr>
        <w:spacing w:after="0" w:line="0" w:lineRule="atLeast"/>
        <w:ind w:left="360"/>
        <w:rPr>
          <w:rFonts w:ascii="Arial" w:eastAsia="Times New Roman" w:hAnsi="Arial" w:cs="Arial"/>
          <w:sz w:val="20"/>
          <w:szCs w:val="20"/>
        </w:rPr>
      </w:pPr>
      <w:r w:rsidRPr="00EC5926">
        <w:rPr>
          <w:rFonts w:ascii="Arial" w:eastAsia="Calibri" w:hAnsi="Arial" w:cs="Arial"/>
          <w:sz w:val="20"/>
          <w:szCs w:val="20"/>
          <w:u w:val="single"/>
        </w:rPr>
        <w:t xml:space="preserve">US Exogen </w:t>
      </w:r>
      <w:r w:rsidR="000464BE">
        <w:rPr>
          <w:rFonts w:ascii="Arial" w:eastAsia="Calibri" w:hAnsi="Arial" w:cs="Arial"/>
          <w:sz w:val="20"/>
          <w:szCs w:val="20"/>
          <w:u w:val="single"/>
        </w:rPr>
        <w:t>p</w:t>
      </w:r>
      <w:r w:rsidRPr="00EC5926">
        <w:rPr>
          <w:rFonts w:ascii="Arial" w:eastAsia="Calibri" w:hAnsi="Arial" w:cs="Arial"/>
          <w:sz w:val="20"/>
          <w:szCs w:val="20"/>
          <w:u w:val="single"/>
        </w:rPr>
        <w:t xml:space="preserve">atient </w:t>
      </w:r>
      <w:r w:rsidR="00B369D6">
        <w:rPr>
          <w:rFonts w:ascii="Arial" w:eastAsia="Calibri" w:hAnsi="Arial" w:cs="Arial"/>
          <w:sz w:val="20"/>
          <w:szCs w:val="20"/>
          <w:u w:val="single"/>
        </w:rPr>
        <w:t>receivables</w:t>
      </w:r>
      <w:r w:rsidRPr="00EC5926">
        <w:rPr>
          <w:rFonts w:ascii="Arial" w:eastAsia="Calibri" w:hAnsi="Arial" w:cs="Arial"/>
          <w:sz w:val="20"/>
          <w:szCs w:val="20"/>
        </w:rPr>
        <w:t xml:space="preserve">: </w:t>
      </w:r>
      <w:r w:rsidR="00EA5A6B">
        <w:rPr>
          <w:rFonts w:ascii="Arial" w:eastAsia="Calibri" w:hAnsi="Arial" w:cs="Arial"/>
          <w:sz w:val="20"/>
          <w:szCs w:val="20"/>
        </w:rPr>
        <w:t>T</w:t>
      </w:r>
      <w:r w:rsidRPr="00EC5926">
        <w:rPr>
          <w:rFonts w:ascii="Arial" w:eastAsia="Calibri" w:hAnsi="Arial" w:cs="Arial"/>
          <w:sz w:val="20"/>
          <w:szCs w:val="20"/>
        </w:rPr>
        <w:t>he Company has a customary business practice of not performing a credit assessment on patient-owed amounts and its historical experience indicates that it is not probable that it will collect substantially all of the billed amount</w:t>
      </w:r>
      <w:r w:rsidR="00EA5A6B">
        <w:rPr>
          <w:rFonts w:ascii="Arial" w:eastAsia="Calibri" w:hAnsi="Arial" w:cs="Arial"/>
          <w:sz w:val="20"/>
          <w:szCs w:val="20"/>
        </w:rPr>
        <w:t xml:space="preserve">. As such, </w:t>
      </w:r>
      <w:r w:rsidRPr="00EC5926">
        <w:rPr>
          <w:rFonts w:ascii="Arial" w:eastAsia="Calibri" w:hAnsi="Arial" w:cs="Arial"/>
          <w:sz w:val="20"/>
          <w:szCs w:val="20"/>
        </w:rPr>
        <w:t xml:space="preserve">the patient amounts not probable of collection constitute implicit price concessions (variable consideration) vs. impairment losses (bad debt expense). The amount of the implicit price concession </w:t>
      </w:r>
      <w:r w:rsidR="003B4283">
        <w:rPr>
          <w:rFonts w:ascii="Arial" w:eastAsia="Calibri" w:hAnsi="Arial" w:cs="Arial"/>
          <w:sz w:val="20"/>
          <w:szCs w:val="20"/>
        </w:rPr>
        <w:t xml:space="preserve">is </w:t>
      </w:r>
      <w:r w:rsidRPr="00EC5926">
        <w:rPr>
          <w:rFonts w:ascii="Arial" w:eastAsia="Calibri" w:hAnsi="Arial" w:cs="Arial"/>
          <w:sz w:val="20"/>
          <w:szCs w:val="20"/>
        </w:rPr>
        <w:t xml:space="preserve">estimated at the time the sales transaction with the patient is recorded (Dr: Revenue; Cr: Contra A/R Reserve). Subsequent changes to the estimated amount </w:t>
      </w:r>
      <w:r w:rsidR="003B4283">
        <w:rPr>
          <w:rFonts w:ascii="Arial" w:eastAsia="Calibri" w:hAnsi="Arial" w:cs="Arial"/>
          <w:sz w:val="20"/>
          <w:szCs w:val="20"/>
        </w:rPr>
        <w:t xml:space="preserve">are </w:t>
      </w:r>
      <w:r w:rsidRPr="00EC5926">
        <w:rPr>
          <w:rFonts w:ascii="Arial" w:eastAsia="Calibri" w:hAnsi="Arial" w:cs="Arial"/>
          <w:sz w:val="20"/>
          <w:szCs w:val="20"/>
        </w:rPr>
        <w:t>adjusted through income as a revenue adjustment, except patient specific information that suggests the patient no longer has ability to pay (e.g., has filed for bankruptcy)</w:t>
      </w:r>
      <w:r w:rsidR="00894E41">
        <w:rPr>
          <w:rFonts w:ascii="Arial" w:eastAsia="Calibri" w:hAnsi="Arial" w:cs="Arial"/>
          <w:sz w:val="20"/>
          <w:szCs w:val="20"/>
        </w:rPr>
        <w:t>. In those circumstances</w:t>
      </w:r>
      <w:r w:rsidRPr="00EC5926">
        <w:rPr>
          <w:rFonts w:ascii="Arial" w:eastAsia="Calibri" w:hAnsi="Arial" w:cs="Arial"/>
          <w:sz w:val="20"/>
          <w:szCs w:val="20"/>
        </w:rPr>
        <w:t xml:space="preserve">, the adjustment </w:t>
      </w:r>
      <w:r w:rsidR="003654C0">
        <w:rPr>
          <w:rFonts w:ascii="Arial" w:eastAsia="Calibri" w:hAnsi="Arial" w:cs="Arial"/>
          <w:sz w:val="20"/>
          <w:szCs w:val="20"/>
        </w:rPr>
        <w:t xml:space="preserve">(write-off) is </w:t>
      </w:r>
      <w:r w:rsidRPr="00EC5926">
        <w:rPr>
          <w:rFonts w:ascii="Arial" w:eastAsia="Calibri" w:hAnsi="Arial" w:cs="Arial"/>
          <w:sz w:val="20"/>
          <w:szCs w:val="20"/>
        </w:rPr>
        <w:t>recorded to bad debt expense</w:t>
      </w:r>
      <w:r w:rsidR="001D646B">
        <w:rPr>
          <w:rFonts w:ascii="Arial" w:eastAsia="Calibri" w:hAnsi="Arial" w:cs="Arial"/>
          <w:sz w:val="20"/>
          <w:szCs w:val="20"/>
        </w:rPr>
        <w:t xml:space="preserve">. </w:t>
      </w:r>
      <w:r w:rsidR="001D646B" w:rsidRPr="00472BB2">
        <w:rPr>
          <w:rFonts w:ascii="Arial" w:eastAsia="Calibri" w:hAnsi="Arial" w:cs="Arial"/>
          <w:b/>
          <w:sz w:val="20"/>
          <w:szCs w:val="20"/>
        </w:rPr>
        <w:t>T</w:t>
      </w:r>
      <w:r w:rsidR="001D646B" w:rsidRPr="00472BB2">
        <w:rPr>
          <w:rFonts w:ascii="Arial" w:eastAsia="Times New Roman" w:hAnsi="Arial" w:cs="Arial"/>
          <w:b/>
          <w:sz w:val="20"/>
          <w:szCs w:val="20"/>
        </w:rPr>
        <w:t>he Company does not record an allowance for credit losses in addition to the reserve for implicit price concessions</w:t>
      </w:r>
      <w:r w:rsidR="001D646B" w:rsidRPr="00472BB2">
        <w:rPr>
          <w:rFonts w:ascii="Arial" w:eastAsia="Calibri" w:hAnsi="Arial" w:cs="Arial"/>
          <w:b/>
          <w:sz w:val="20"/>
          <w:szCs w:val="20"/>
        </w:rPr>
        <w:t xml:space="preserve"> since t</w:t>
      </w:r>
      <w:r w:rsidR="003654C0" w:rsidRPr="00472BB2">
        <w:rPr>
          <w:rFonts w:ascii="Arial" w:eastAsia="Times New Roman" w:hAnsi="Arial" w:cs="Arial"/>
          <w:b/>
          <w:sz w:val="20"/>
          <w:szCs w:val="20"/>
        </w:rPr>
        <w:t>his pool of receivables ha</w:t>
      </w:r>
      <w:r w:rsidR="001D646B" w:rsidRPr="00472BB2">
        <w:rPr>
          <w:rFonts w:ascii="Arial" w:eastAsia="Times New Roman" w:hAnsi="Arial" w:cs="Arial"/>
          <w:b/>
          <w:sz w:val="20"/>
          <w:szCs w:val="20"/>
        </w:rPr>
        <w:t>s</w:t>
      </w:r>
      <w:r w:rsidR="003654C0" w:rsidRPr="00472BB2">
        <w:rPr>
          <w:rFonts w:ascii="Arial" w:eastAsia="Times New Roman" w:hAnsi="Arial" w:cs="Arial"/>
          <w:b/>
          <w:sz w:val="20"/>
          <w:szCs w:val="20"/>
        </w:rPr>
        <w:t xml:space="preserve"> historically not been significant</w:t>
      </w:r>
      <w:r w:rsidR="003654C0">
        <w:rPr>
          <w:rFonts w:ascii="Arial" w:eastAsia="Times New Roman" w:hAnsi="Arial" w:cs="Arial"/>
          <w:sz w:val="20"/>
          <w:szCs w:val="20"/>
        </w:rPr>
        <w:t>.</w:t>
      </w:r>
      <w:r w:rsidR="003B4283">
        <w:rPr>
          <w:rFonts w:ascii="Arial" w:eastAsia="Times New Roman" w:hAnsi="Arial" w:cs="Arial"/>
          <w:sz w:val="20"/>
          <w:szCs w:val="20"/>
        </w:rPr>
        <w:t xml:space="preserve">  </w:t>
      </w:r>
    </w:p>
    <w:p w14:paraId="41B2D560" w14:textId="77777777" w:rsidR="008A7E81" w:rsidRPr="008A7E81" w:rsidRDefault="008A7E81" w:rsidP="008A7E81">
      <w:pPr>
        <w:spacing w:after="0" w:line="0" w:lineRule="atLeast"/>
        <w:ind w:left="360"/>
        <w:rPr>
          <w:rFonts w:ascii="Arial" w:eastAsia="Times New Roman" w:hAnsi="Arial" w:cs="Arial"/>
          <w:sz w:val="20"/>
          <w:szCs w:val="20"/>
        </w:rPr>
      </w:pPr>
    </w:p>
    <w:p w14:paraId="49EFACB1" w14:textId="3B802150" w:rsidR="00EC5926" w:rsidRPr="003F58C5" w:rsidRDefault="00EC5926" w:rsidP="003F58C5">
      <w:pPr>
        <w:pStyle w:val="ListParagraph"/>
        <w:keepNext/>
        <w:numPr>
          <w:ilvl w:val="0"/>
          <w:numId w:val="5"/>
        </w:numPr>
        <w:spacing w:after="0" w:line="0" w:lineRule="atLeast"/>
        <w:jc w:val="both"/>
        <w:outlineLvl w:val="1"/>
        <w:rPr>
          <w:rFonts w:ascii="Century Gothic" w:eastAsia="Times New Roman" w:hAnsi="Century Gothic" w:cs="Arial"/>
          <w:b/>
          <w:bCs/>
          <w:sz w:val="20"/>
          <w:szCs w:val="20"/>
        </w:rPr>
      </w:pPr>
      <w:r w:rsidRPr="003F58C5">
        <w:rPr>
          <w:rFonts w:ascii="Century Gothic" w:eastAsia="Times New Roman" w:hAnsi="Century Gothic" w:cs="Arial"/>
          <w:b/>
          <w:bCs/>
          <w:sz w:val="20"/>
          <w:szCs w:val="20"/>
        </w:rPr>
        <w:t>Write-offs</w:t>
      </w:r>
      <w:r w:rsidR="00EF4CAF">
        <w:rPr>
          <w:rFonts w:ascii="Century Gothic" w:eastAsia="Times New Roman" w:hAnsi="Century Gothic" w:cs="Arial"/>
          <w:b/>
          <w:bCs/>
          <w:sz w:val="20"/>
          <w:szCs w:val="20"/>
        </w:rPr>
        <w:t xml:space="preserve"> and Recoveries</w:t>
      </w:r>
    </w:p>
    <w:p w14:paraId="51695AB0" w14:textId="51C8F2AB" w:rsidR="00EC5926" w:rsidRDefault="00EC5926" w:rsidP="008A7E81">
      <w:pPr>
        <w:spacing w:after="0" w:line="0" w:lineRule="atLeast"/>
        <w:ind w:left="360"/>
        <w:rPr>
          <w:rFonts w:ascii="Arial" w:eastAsia="Times New Roman" w:hAnsi="Arial" w:cs="Arial"/>
          <w:color w:val="8EAADB" w:themeColor="accent5" w:themeTint="99"/>
          <w:sz w:val="20"/>
          <w:szCs w:val="20"/>
        </w:rPr>
      </w:pPr>
    </w:p>
    <w:p w14:paraId="24C1FD94" w14:textId="0AA31DDA" w:rsidR="00571C4B" w:rsidRDefault="00EF4CAF" w:rsidP="008A7E81">
      <w:pPr>
        <w:spacing w:after="0" w:line="0" w:lineRule="atLeast"/>
        <w:ind w:left="360"/>
        <w:rPr>
          <w:rFonts w:ascii="Arial" w:eastAsia="Times New Roman" w:hAnsi="Arial" w:cs="Arial"/>
          <w:sz w:val="20"/>
          <w:szCs w:val="20"/>
        </w:rPr>
      </w:pPr>
      <w:r>
        <w:rPr>
          <w:rFonts w:ascii="Arial" w:eastAsia="Times New Roman" w:hAnsi="Arial" w:cs="Arial"/>
          <w:sz w:val="20"/>
          <w:szCs w:val="20"/>
        </w:rPr>
        <w:t xml:space="preserve">A write-off should be recorded </w:t>
      </w:r>
      <w:r w:rsidR="00571C4B">
        <w:rPr>
          <w:rFonts w:ascii="Arial" w:eastAsia="Times New Roman" w:hAnsi="Arial" w:cs="Arial"/>
          <w:sz w:val="20"/>
          <w:szCs w:val="20"/>
        </w:rPr>
        <w:t xml:space="preserve">to the allowance account by debiting (decreasing) the allowance account </w:t>
      </w:r>
      <w:r>
        <w:rPr>
          <w:rFonts w:ascii="Arial" w:eastAsia="Times New Roman" w:hAnsi="Arial" w:cs="Arial"/>
          <w:sz w:val="20"/>
          <w:szCs w:val="20"/>
        </w:rPr>
        <w:t xml:space="preserve">when all or a portion of the </w:t>
      </w:r>
      <w:r w:rsidR="00571C4B">
        <w:rPr>
          <w:rFonts w:ascii="Arial" w:eastAsia="Times New Roman" w:hAnsi="Arial" w:cs="Arial"/>
          <w:sz w:val="20"/>
          <w:szCs w:val="20"/>
        </w:rPr>
        <w:t xml:space="preserve">receivable </w:t>
      </w:r>
      <w:r w:rsidR="000C7C70">
        <w:rPr>
          <w:rFonts w:ascii="Arial" w:eastAsia="Times New Roman" w:hAnsi="Arial" w:cs="Arial"/>
          <w:sz w:val="20"/>
          <w:szCs w:val="20"/>
        </w:rPr>
        <w:t xml:space="preserve">balance </w:t>
      </w:r>
      <w:r>
        <w:rPr>
          <w:rFonts w:ascii="Arial" w:eastAsia="Times New Roman" w:hAnsi="Arial" w:cs="Arial"/>
          <w:sz w:val="20"/>
          <w:szCs w:val="20"/>
        </w:rPr>
        <w:t xml:space="preserve">is no longer </w:t>
      </w:r>
      <w:r w:rsidR="00571C4B">
        <w:rPr>
          <w:rFonts w:ascii="Arial" w:eastAsia="Times New Roman" w:hAnsi="Arial" w:cs="Arial"/>
          <w:sz w:val="20"/>
          <w:szCs w:val="20"/>
        </w:rPr>
        <w:t xml:space="preserve">deemed </w:t>
      </w:r>
      <w:r>
        <w:rPr>
          <w:rFonts w:ascii="Arial" w:eastAsia="Times New Roman" w:hAnsi="Arial" w:cs="Arial"/>
          <w:sz w:val="20"/>
          <w:szCs w:val="20"/>
        </w:rPr>
        <w:t>collec</w:t>
      </w:r>
      <w:r w:rsidR="007E2CF9">
        <w:rPr>
          <w:rFonts w:ascii="Arial" w:eastAsia="Times New Roman" w:hAnsi="Arial" w:cs="Arial"/>
          <w:sz w:val="20"/>
          <w:szCs w:val="20"/>
        </w:rPr>
        <w:t>table</w:t>
      </w:r>
      <w:r>
        <w:rPr>
          <w:rFonts w:ascii="Arial" w:eastAsia="Times New Roman" w:hAnsi="Arial" w:cs="Arial"/>
          <w:sz w:val="20"/>
          <w:szCs w:val="20"/>
        </w:rPr>
        <w:t xml:space="preserve">, which is generally </w:t>
      </w:r>
      <w:r w:rsidR="007E2CF9">
        <w:rPr>
          <w:rFonts w:ascii="Arial" w:eastAsia="Times New Roman" w:hAnsi="Arial" w:cs="Arial"/>
          <w:sz w:val="20"/>
          <w:szCs w:val="20"/>
        </w:rPr>
        <w:t xml:space="preserve">when all efforts to collect have been exhausted. </w:t>
      </w:r>
      <w:r w:rsidR="000C7C70">
        <w:rPr>
          <w:rFonts w:ascii="Arial" w:eastAsia="Times New Roman" w:hAnsi="Arial" w:cs="Arial"/>
          <w:sz w:val="20"/>
          <w:szCs w:val="20"/>
        </w:rPr>
        <w:t>F</w:t>
      </w:r>
      <w:r w:rsidR="00571C4B">
        <w:rPr>
          <w:rFonts w:ascii="Arial" w:eastAsia="Times New Roman" w:hAnsi="Arial" w:cs="Arial"/>
          <w:sz w:val="20"/>
          <w:szCs w:val="20"/>
        </w:rPr>
        <w:t>actors consider</w:t>
      </w:r>
      <w:r w:rsidR="000C7C70">
        <w:rPr>
          <w:rFonts w:ascii="Arial" w:eastAsia="Times New Roman" w:hAnsi="Arial" w:cs="Arial"/>
          <w:sz w:val="20"/>
          <w:szCs w:val="20"/>
        </w:rPr>
        <w:t>ed</w:t>
      </w:r>
      <w:r w:rsidR="00571C4B">
        <w:rPr>
          <w:rFonts w:ascii="Arial" w:eastAsia="Times New Roman" w:hAnsi="Arial" w:cs="Arial"/>
          <w:sz w:val="20"/>
          <w:szCs w:val="20"/>
        </w:rPr>
        <w:t xml:space="preserve"> when assessing whether the receivable is deemed uncollectible </w:t>
      </w:r>
      <w:r w:rsidR="00040E9F">
        <w:rPr>
          <w:rFonts w:ascii="Arial" w:eastAsia="Times New Roman" w:hAnsi="Arial" w:cs="Arial"/>
          <w:sz w:val="20"/>
          <w:szCs w:val="20"/>
        </w:rPr>
        <w:t xml:space="preserve">include: </w:t>
      </w:r>
    </w:p>
    <w:p w14:paraId="33CF66AC" w14:textId="5CF718CB" w:rsidR="00571C4B" w:rsidRDefault="00571C4B" w:rsidP="00571C4B">
      <w:pPr>
        <w:pStyle w:val="ListParagraph"/>
        <w:numPr>
          <w:ilvl w:val="0"/>
          <w:numId w:val="9"/>
        </w:numPr>
        <w:spacing w:after="0" w:line="0" w:lineRule="atLeast"/>
        <w:rPr>
          <w:rFonts w:ascii="Arial" w:eastAsia="Times New Roman" w:hAnsi="Arial" w:cs="Arial"/>
          <w:sz w:val="20"/>
          <w:szCs w:val="20"/>
        </w:rPr>
      </w:pPr>
      <w:r>
        <w:rPr>
          <w:rFonts w:ascii="Arial" w:eastAsia="Times New Roman" w:hAnsi="Arial" w:cs="Arial"/>
          <w:sz w:val="20"/>
          <w:szCs w:val="20"/>
        </w:rPr>
        <w:t xml:space="preserve">the </w:t>
      </w:r>
      <w:r w:rsidR="00040E9F" w:rsidRPr="00571C4B">
        <w:rPr>
          <w:rFonts w:ascii="Arial" w:eastAsia="Times New Roman" w:hAnsi="Arial" w:cs="Arial"/>
          <w:sz w:val="20"/>
          <w:szCs w:val="20"/>
        </w:rPr>
        <w:t xml:space="preserve">customer is </w:t>
      </w:r>
      <w:r w:rsidR="007E2CF9" w:rsidRPr="00571C4B">
        <w:rPr>
          <w:rFonts w:ascii="Arial" w:eastAsia="Times New Roman" w:hAnsi="Arial" w:cs="Arial"/>
          <w:sz w:val="20"/>
          <w:szCs w:val="20"/>
        </w:rPr>
        <w:t>insolvency</w:t>
      </w:r>
      <w:r>
        <w:rPr>
          <w:rFonts w:ascii="Arial" w:eastAsia="Times New Roman" w:hAnsi="Arial" w:cs="Arial"/>
          <w:sz w:val="20"/>
          <w:szCs w:val="20"/>
        </w:rPr>
        <w:t xml:space="preserve"> or has </w:t>
      </w:r>
      <w:r w:rsidR="00040E9F" w:rsidRPr="00571C4B">
        <w:rPr>
          <w:rFonts w:ascii="Arial" w:eastAsia="Times New Roman" w:hAnsi="Arial" w:cs="Arial"/>
          <w:sz w:val="20"/>
          <w:szCs w:val="20"/>
        </w:rPr>
        <w:t xml:space="preserve">filed for </w:t>
      </w:r>
      <w:r w:rsidR="007E2CF9" w:rsidRPr="00571C4B">
        <w:rPr>
          <w:rFonts w:ascii="Arial" w:eastAsia="Times New Roman" w:hAnsi="Arial" w:cs="Arial"/>
          <w:sz w:val="20"/>
          <w:szCs w:val="20"/>
        </w:rPr>
        <w:t xml:space="preserve">bankruptcy </w:t>
      </w:r>
    </w:p>
    <w:p w14:paraId="1EBFEC26" w14:textId="18545485" w:rsidR="00571C4B" w:rsidRDefault="00571C4B" w:rsidP="00571C4B">
      <w:pPr>
        <w:pStyle w:val="ListParagraph"/>
        <w:numPr>
          <w:ilvl w:val="0"/>
          <w:numId w:val="9"/>
        </w:numPr>
        <w:spacing w:after="0" w:line="0" w:lineRule="atLeast"/>
        <w:rPr>
          <w:rFonts w:ascii="Arial" w:eastAsia="Times New Roman" w:hAnsi="Arial" w:cs="Arial"/>
          <w:sz w:val="20"/>
          <w:szCs w:val="20"/>
        </w:rPr>
      </w:pPr>
      <w:r>
        <w:rPr>
          <w:rFonts w:ascii="Arial" w:eastAsia="Times New Roman" w:hAnsi="Arial" w:cs="Arial"/>
          <w:sz w:val="20"/>
          <w:szCs w:val="20"/>
        </w:rPr>
        <w:t xml:space="preserve">receivable </w:t>
      </w:r>
      <w:r w:rsidR="00040E9F" w:rsidRPr="00571C4B">
        <w:rPr>
          <w:rFonts w:ascii="Arial" w:eastAsia="Times New Roman" w:hAnsi="Arial" w:cs="Arial"/>
          <w:sz w:val="20"/>
          <w:szCs w:val="20"/>
        </w:rPr>
        <w:t xml:space="preserve">balance is </w:t>
      </w:r>
      <w:r w:rsidR="00C677BC" w:rsidRPr="00571C4B">
        <w:rPr>
          <w:rFonts w:ascii="Arial" w:eastAsia="Times New Roman" w:hAnsi="Arial" w:cs="Arial"/>
          <w:sz w:val="20"/>
          <w:szCs w:val="20"/>
        </w:rPr>
        <w:t>12 months or more past due</w:t>
      </w:r>
      <w:r w:rsidR="007E2CF9" w:rsidRPr="00571C4B">
        <w:rPr>
          <w:rFonts w:ascii="Arial" w:eastAsia="Times New Roman" w:hAnsi="Arial" w:cs="Arial"/>
          <w:sz w:val="20"/>
          <w:szCs w:val="20"/>
        </w:rPr>
        <w:t xml:space="preserve"> </w:t>
      </w:r>
      <w:r>
        <w:rPr>
          <w:rFonts w:ascii="Arial" w:eastAsia="Times New Roman" w:hAnsi="Arial" w:cs="Arial"/>
          <w:sz w:val="20"/>
          <w:szCs w:val="20"/>
        </w:rPr>
        <w:t>with no response from the customer and after multiple contact attempts</w:t>
      </w:r>
    </w:p>
    <w:p w14:paraId="25C85526" w14:textId="1FA33960" w:rsidR="00447EF2" w:rsidRDefault="00571C4B" w:rsidP="00571C4B">
      <w:pPr>
        <w:pStyle w:val="ListParagraph"/>
        <w:numPr>
          <w:ilvl w:val="0"/>
          <w:numId w:val="9"/>
        </w:numPr>
        <w:spacing w:after="0" w:line="0" w:lineRule="atLeast"/>
        <w:rPr>
          <w:rFonts w:ascii="Arial" w:eastAsia="Times New Roman" w:hAnsi="Arial" w:cs="Arial"/>
          <w:sz w:val="20"/>
          <w:szCs w:val="20"/>
        </w:rPr>
      </w:pPr>
      <w:r>
        <w:rPr>
          <w:rFonts w:ascii="Arial" w:eastAsia="Times New Roman" w:hAnsi="Arial" w:cs="Arial"/>
          <w:sz w:val="20"/>
          <w:szCs w:val="20"/>
        </w:rPr>
        <w:t xml:space="preserve">the </w:t>
      </w:r>
      <w:r w:rsidR="007E2CF9" w:rsidRPr="00571C4B">
        <w:rPr>
          <w:rFonts w:ascii="Arial" w:eastAsia="Times New Roman" w:hAnsi="Arial" w:cs="Arial"/>
          <w:sz w:val="20"/>
          <w:szCs w:val="20"/>
        </w:rPr>
        <w:t xml:space="preserve">customer </w:t>
      </w:r>
      <w:r w:rsidR="00040E9F" w:rsidRPr="00571C4B">
        <w:rPr>
          <w:rFonts w:ascii="Arial" w:eastAsia="Times New Roman" w:hAnsi="Arial" w:cs="Arial"/>
          <w:sz w:val="20"/>
          <w:szCs w:val="20"/>
        </w:rPr>
        <w:t xml:space="preserve">has </w:t>
      </w:r>
      <w:r w:rsidR="007E2CF9" w:rsidRPr="00571C4B">
        <w:rPr>
          <w:rFonts w:ascii="Arial" w:eastAsia="Times New Roman" w:hAnsi="Arial" w:cs="Arial"/>
          <w:sz w:val="20"/>
          <w:szCs w:val="20"/>
        </w:rPr>
        <w:t>indicate</w:t>
      </w:r>
      <w:r w:rsidR="00040E9F" w:rsidRPr="00571C4B">
        <w:rPr>
          <w:rFonts w:ascii="Arial" w:eastAsia="Times New Roman" w:hAnsi="Arial" w:cs="Arial"/>
          <w:sz w:val="20"/>
          <w:szCs w:val="20"/>
        </w:rPr>
        <w:t>d</w:t>
      </w:r>
      <w:r w:rsidR="007E2CF9" w:rsidRPr="00571C4B">
        <w:rPr>
          <w:rFonts w:ascii="Arial" w:eastAsia="Times New Roman" w:hAnsi="Arial" w:cs="Arial"/>
          <w:sz w:val="20"/>
          <w:szCs w:val="20"/>
        </w:rPr>
        <w:t xml:space="preserve"> </w:t>
      </w:r>
      <w:r w:rsidR="00040E9F" w:rsidRPr="00571C4B">
        <w:rPr>
          <w:rFonts w:ascii="Arial" w:eastAsia="Times New Roman" w:hAnsi="Arial" w:cs="Arial"/>
          <w:sz w:val="20"/>
          <w:szCs w:val="20"/>
        </w:rPr>
        <w:t>no intention to pay</w:t>
      </w:r>
      <w:r w:rsidR="00947870" w:rsidRPr="00571C4B">
        <w:rPr>
          <w:rFonts w:ascii="Arial" w:eastAsia="Times New Roman" w:hAnsi="Arial" w:cs="Arial"/>
          <w:sz w:val="20"/>
          <w:szCs w:val="20"/>
        </w:rPr>
        <w:t xml:space="preserve">  </w:t>
      </w:r>
    </w:p>
    <w:p w14:paraId="58C6A3FD" w14:textId="77777777" w:rsidR="00447EF2" w:rsidRPr="00447EF2" w:rsidRDefault="00447EF2" w:rsidP="00447EF2">
      <w:pPr>
        <w:spacing w:after="0" w:line="0" w:lineRule="atLeast"/>
        <w:ind w:left="360"/>
        <w:rPr>
          <w:rFonts w:ascii="Arial" w:eastAsia="Times New Roman" w:hAnsi="Arial" w:cs="Arial"/>
          <w:sz w:val="20"/>
          <w:szCs w:val="20"/>
        </w:rPr>
      </w:pPr>
    </w:p>
    <w:p w14:paraId="25127712" w14:textId="5BC85D37" w:rsidR="00EC5926" w:rsidRPr="00447EF2" w:rsidRDefault="00947870" w:rsidP="00447EF2">
      <w:pPr>
        <w:spacing w:after="0" w:line="0" w:lineRule="atLeast"/>
        <w:ind w:left="360"/>
        <w:rPr>
          <w:rFonts w:ascii="Arial" w:eastAsia="Times New Roman" w:hAnsi="Arial" w:cs="Arial"/>
          <w:sz w:val="20"/>
          <w:szCs w:val="20"/>
        </w:rPr>
      </w:pPr>
      <w:r w:rsidRPr="00447EF2">
        <w:rPr>
          <w:rFonts w:ascii="Arial" w:eastAsia="Times New Roman" w:hAnsi="Arial" w:cs="Arial"/>
          <w:sz w:val="20"/>
          <w:szCs w:val="20"/>
        </w:rPr>
        <w:t xml:space="preserve">See </w:t>
      </w:r>
      <w:r w:rsidRPr="00447EF2">
        <w:rPr>
          <w:rFonts w:ascii="Arial" w:eastAsia="Times New Roman" w:hAnsi="Arial" w:cs="Arial"/>
          <w:i/>
          <w:sz w:val="20"/>
          <w:szCs w:val="20"/>
          <w:u w:val="single"/>
        </w:rPr>
        <w:t>Bioventus Global Customer Credit Policy</w:t>
      </w:r>
      <w:r w:rsidRPr="00447EF2">
        <w:rPr>
          <w:rFonts w:ascii="Arial" w:eastAsia="Times New Roman" w:hAnsi="Arial" w:cs="Arial"/>
          <w:b/>
          <w:i/>
          <w:sz w:val="20"/>
          <w:szCs w:val="20"/>
        </w:rPr>
        <w:t xml:space="preserve"> </w:t>
      </w:r>
      <w:r w:rsidRPr="00447EF2">
        <w:rPr>
          <w:rFonts w:ascii="Arial" w:eastAsia="Times New Roman" w:hAnsi="Arial" w:cs="Arial"/>
          <w:sz w:val="20"/>
          <w:szCs w:val="20"/>
        </w:rPr>
        <w:t xml:space="preserve">for additional details on write-off </w:t>
      </w:r>
      <w:r w:rsidR="000C7C70">
        <w:rPr>
          <w:rFonts w:ascii="Arial" w:eastAsia="Times New Roman" w:hAnsi="Arial" w:cs="Arial"/>
          <w:sz w:val="20"/>
          <w:szCs w:val="20"/>
        </w:rPr>
        <w:t xml:space="preserve">procedures and </w:t>
      </w:r>
      <w:r w:rsidRPr="00447EF2">
        <w:rPr>
          <w:rFonts w:ascii="Arial" w:eastAsia="Times New Roman" w:hAnsi="Arial" w:cs="Arial"/>
          <w:sz w:val="20"/>
          <w:szCs w:val="20"/>
        </w:rPr>
        <w:t>approval thresholds.</w:t>
      </w:r>
    </w:p>
    <w:p w14:paraId="411AD7A2" w14:textId="77777777" w:rsidR="00EC09DB" w:rsidRDefault="00EC09DB" w:rsidP="00EC09DB">
      <w:pPr>
        <w:spacing w:after="0" w:line="240" w:lineRule="auto"/>
        <w:ind w:left="360"/>
        <w:rPr>
          <w:rFonts w:ascii="Arial" w:hAnsi="Arial" w:cs="Arial"/>
          <w:sz w:val="20"/>
          <w:szCs w:val="20"/>
        </w:rPr>
      </w:pPr>
    </w:p>
    <w:p w14:paraId="0B15F497" w14:textId="7C32BA1D" w:rsidR="00C677BC" w:rsidRDefault="00BC5AFB" w:rsidP="00C677BC">
      <w:pPr>
        <w:ind w:left="360"/>
        <w:rPr>
          <w:rFonts w:ascii="Arial" w:hAnsi="Arial" w:cs="Arial"/>
          <w:sz w:val="20"/>
          <w:szCs w:val="20"/>
        </w:rPr>
      </w:pPr>
      <w:r>
        <w:rPr>
          <w:rFonts w:ascii="Arial" w:hAnsi="Arial" w:cs="Arial"/>
          <w:sz w:val="20"/>
          <w:szCs w:val="20"/>
        </w:rPr>
        <w:t xml:space="preserve">Recoveries of amounts previously written-off </w:t>
      </w:r>
      <w:r w:rsidR="004F4D79">
        <w:rPr>
          <w:rFonts w:ascii="Arial" w:hAnsi="Arial" w:cs="Arial"/>
          <w:sz w:val="20"/>
          <w:szCs w:val="20"/>
        </w:rPr>
        <w:t xml:space="preserve">should be recorded to the allowance account by </w:t>
      </w:r>
      <w:r>
        <w:rPr>
          <w:rFonts w:ascii="Arial" w:hAnsi="Arial" w:cs="Arial"/>
          <w:sz w:val="20"/>
          <w:szCs w:val="20"/>
        </w:rPr>
        <w:t xml:space="preserve">crediting </w:t>
      </w:r>
      <w:r w:rsidR="004F4D79">
        <w:rPr>
          <w:rFonts w:ascii="Arial" w:hAnsi="Arial" w:cs="Arial"/>
          <w:sz w:val="20"/>
          <w:szCs w:val="20"/>
        </w:rPr>
        <w:t xml:space="preserve">(increasing) </w:t>
      </w:r>
      <w:r>
        <w:rPr>
          <w:rFonts w:ascii="Arial" w:hAnsi="Arial" w:cs="Arial"/>
          <w:sz w:val="20"/>
          <w:szCs w:val="20"/>
        </w:rPr>
        <w:t>the allowance account.</w:t>
      </w:r>
      <w:r w:rsidR="004F4D79">
        <w:rPr>
          <w:rFonts w:ascii="Arial" w:hAnsi="Arial" w:cs="Arial"/>
          <w:sz w:val="20"/>
          <w:szCs w:val="20"/>
        </w:rPr>
        <w:t xml:space="preserve"> </w:t>
      </w:r>
      <w:r w:rsidR="004F4D79" w:rsidRPr="00C677BC">
        <w:rPr>
          <w:rFonts w:ascii="Arial" w:hAnsi="Arial" w:cs="Arial"/>
          <w:sz w:val="20"/>
          <w:szCs w:val="20"/>
        </w:rPr>
        <w:t xml:space="preserve">Recoveries should </w:t>
      </w:r>
      <w:r w:rsidR="004F4D79">
        <w:rPr>
          <w:rFonts w:ascii="Arial" w:hAnsi="Arial" w:cs="Arial"/>
          <w:sz w:val="20"/>
          <w:szCs w:val="20"/>
        </w:rPr>
        <w:t xml:space="preserve">also </w:t>
      </w:r>
      <w:r w:rsidR="004F4D79" w:rsidRPr="00C677BC">
        <w:rPr>
          <w:rFonts w:ascii="Arial" w:hAnsi="Arial" w:cs="Arial"/>
          <w:sz w:val="20"/>
          <w:szCs w:val="20"/>
        </w:rPr>
        <w:t xml:space="preserve">be included in the </w:t>
      </w:r>
      <w:r w:rsidR="004F4D79">
        <w:rPr>
          <w:rFonts w:ascii="Arial" w:hAnsi="Arial" w:cs="Arial"/>
          <w:sz w:val="20"/>
          <w:szCs w:val="20"/>
        </w:rPr>
        <w:t xml:space="preserve">historical credit loss </w:t>
      </w:r>
      <w:r w:rsidR="004F4D79" w:rsidRPr="00C677BC">
        <w:rPr>
          <w:rFonts w:ascii="Arial" w:hAnsi="Arial" w:cs="Arial"/>
          <w:sz w:val="20"/>
          <w:szCs w:val="20"/>
        </w:rPr>
        <w:t xml:space="preserve">data </w:t>
      </w:r>
      <w:r w:rsidR="004F4D79">
        <w:rPr>
          <w:rFonts w:ascii="Arial" w:hAnsi="Arial" w:cs="Arial"/>
          <w:sz w:val="20"/>
          <w:szCs w:val="20"/>
        </w:rPr>
        <w:t>used to determine expected credit losses.</w:t>
      </w:r>
    </w:p>
    <w:p w14:paraId="249F4153" w14:textId="50B5F88F" w:rsidR="00635EF3" w:rsidRPr="003F58C5" w:rsidRDefault="00635EF3" w:rsidP="00635EF3">
      <w:pPr>
        <w:pStyle w:val="ListParagraph"/>
        <w:keepNext/>
        <w:numPr>
          <w:ilvl w:val="0"/>
          <w:numId w:val="5"/>
        </w:numPr>
        <w:spacing w:after="0" w:line="0" w:lineRule="atLeast"/>
        <w:jc w:val="both"/>
        <w:outlineLvl w:val="1"/>
        <w:rPr>
          <w:rFonts w:ascii="Century Gothic" w:eastAsia="Times New Roman" w:hAnsi="Century Gothic" w:cs="Arial"/>
          <w:b/>
          <w:bCs/>
          <w:sz w:val="20"/>
          <w:szCs w:val="20"/>
        </w:rPr>
      </w:pPr>
      <w:r>
        <w:rPr>
          <w:rFonts w:ascii="Century Gothic" w:eastAsia="Times New Roman" w:hAnsi="Century Gothic" w:cs="Arial"/>
          <w:b/>
          <w:bCs/>
          <w:sz w:val="20"/>
          <w:szCs w:val="20"/>
        </w:rPr>
        <w:lastRenderedPageBreak/>
        <w:t>Presentation</w:t>
      </w:r>
    </w:p>
    <w:p w14:paraId="100EDD4C" w14:textId="77777777" w:rsidR="00635EF3" w:rsidRDefault="00635EF3" w:rsidP="00580559">
      <w:pPr>
        <w:spacing w:after="0"/>
        <w:ind w:left="360"/>
        <w:rPr>
          <w:rFonts w:ascii="Arial" w:hAnsi="Arial" w:cs="Arial"/>
          <w:sz w:val="20"/>
          <w:szCs w:val="20"/>
        </w:rPr>
      </w:pPr>
    </w:p>
    <w:p w14:paraId="0175A508" w14:textId="51A838C9" w:rsidR="00635EF3" w:rsidRDefault="00635EF3" w:rsidP="00C677BC">
      <w:pPr>
        <w:ind w:left="360"/>
        <w:rPr>
          <w:rFonts w:ascii="Arial" w:hAnsi="Arial" w:cs="Arial"/>
          <w:sz w:val="20"/>
          <w:szCs w:val="20"/>
        </w:rPr>
      </w:pPr>
      <w:r>
        <w:rPr>
          <w:rFonts w:ascii="Arial" w:hAnsi="Arial" w:cs="Arial"/>
          <w:sz w:val="20"/>
          <w:szCs w:val="20"/>
        </w:rPr>
        <w:t>The allowance for credit losses is a valuation account that is deducted from the asset’s amortized cost (i.e., accounts receivable</w:t>
      </w:r>
      <w:r w:rsidR="00580559">
        <w:rPr>
          <w:rFonts w:ascii="Arial" w:hAnsi="Arial" w:cs="Arial"/>
          <w:sz w:val="20"/>
          <w:szCs w:val="20"/>
        </w:rPr>
        <w:t>,</w:t>
      </w:r>
      <w:r>
        <w:rPr>
          <w:rFonts w:ascii="Arial" w:hAnsi="Arial" w:cs="Arial"/>
          <w:sz w:val="20"/>
          <w:szCs w:val="20"/>
        </w:rPr>
        <w:t xml:space="preserve"> net of the allowance)</w:t>
      </w:r>
      <w:r w:rsidR="00580559">
        <w:rPr>
          <w:rFonts w:ascii="Arial" w:hAnsi="Arial" w:cs="Arial"/>
          <w:sz w:val="20"/>
          <w:szCs w:val="20"/>
        </w:rPr>
        <w:t>. The amount necessary to adjust the allowance for the current estimate of expected credit losses is reported in</w:t>
      </w:r>
      <w:r w:rsidR="00B369D6">
        <w:rPr>
          <w:rFonts w:ascii="Arial" w:hAnsi="Arial" w:cs="Arial"/>
          <w:sz w:val="20"/>
          <w:szCs w:val="20"/>
        </w:rPr>
        <w:t xml:space="preserve"> </w:t>
      </w:r>
      <w:r w:rsidR="00580559">
        <w:rPr>
          <w:rFonts w:ascii="Arial" w:hAnsi="Arial" w:cs="Arial"/>
          <w:sz w:val="20"/>
          <w:szCs w:val="20"/>
        </w:rPr>
        <w:t>the income statement as credit loss expense</w:t>
      </w:r>
      <w:r w:rsidR="00B369D6">
        <w:rPr>
          <w:rFonts w:ascii="Arial" w:hAnsi="Arial" w:cs="Arial"/>
          <w:sz w:val="20"/>
          <w:szCs w:val="20"/>
        </w:rPr>
        <w:t xml:space="preserve"> (SG&amp;A expense line)</w:t>
      </w:r>
      <w:r w:rsidR="00580559">
        <w:rPr>
          <w:rFonts w:ascii="Arial" w:hAnsi="Arial" w:cs="Arial"/>
          <w:sz w:val="20"/>
          <w:szCs w:val="20"/>
        </w:rPr>
        <w:t xml:space="preserve">. </w:t>
      </w:r>
    </w:p>
    <w:p w14:paraId="6F12C6EA" w14:textId="77777777" w:rsidR="005A103B" w:rsidRDefault="005A103B" w:rsidP="00C677BC">
      <w:pPr>
        <w:ind w:left="360"/>
        <w:rPr>
          <w:rFonts w:ascii="Arial" w:hAnsi="Arial" w:cs="Arial"/>
          <w:sz w:val="20"/>
          <w:szCs w:val="20"/>
        </w:rPr>
      </w:pPr>
    </w:p>
    <w:p w14:paraId="3D974984" w14:textId="0CF95FE5" w:rsidR="005A103B" w:rsidRDefault="005A103B" w:rsidP="00C677BC">
      <w:pPr>
        <w:ind w:left="360"/>
        <w:rPr>
          <w:rFonts w:ascii="Arial" w:hAnsi="Arial" w:cs="Arial"/>
          <w:b/>
          <w:sz w:val="20"/>
          <w:szCs w:val="20"/>
        </w:rPr>
      </w:pPr>
      <w:r w:rsidRPr="005A103B">
        <w:rPr>
          <w:rFonts w:ascii="Arial" w:hAnsi="Arial" w:cs="Arial"/>
          <w:b/>
          <w:sz w:val="20"/>
          <w:szCs w:val="20"/>
        </w:rPr>
        <w:t>Approvals</w:t>
      </w:r>
    </w:p>
    <w:tbl>
      <w:tblPr>
        <w:tblStyle w:val="TableGrid"/>
        <w:tblW w:w="8995" w:type="dxa"/>
        <w:tblInd w:w="360" w:type="dxa"/>
        <w:tblLook w:val="04A0" w:firstRow="1" w:lastRow="0" w:firstColumn="1" w:lastColumn="0" w:noHBand="0" w:noVBand="1"/>
      </w:tblPr>
      <w:tblGrid>
        <w:gridCol w:w="2280"/>
        <w:gridCol w:w="5365"/>
        <w:gridCol w:w="1350"/>
      </w:tblGrid>
      <w:tr w:rsidR="005A103B" w14:paraId="267347A8" w14:textId="77777777" w:rsidTr="005A103B">
        <w:tc>
          <w:tcPr>
            <w:tcW w:w="2280" w:type="dxa"/>
          </w:tcPr>
          <w:p w14:paraId="6DC72B88" w14:textId="1D12263D" w:rsidR="005A103B" w:rsidRDefault="005A103B" w:rsidP="005A103B">
            <w:pPr>
              <w:rPr>
                <w:rFonts w:ascii="Arial" w:hAnsi="Arial" w:cs="Arial"/>
                <w:b/>
                <w:sz w:val="20"/>
                <w:szCs w:val="20"/>
              </w:rPr>
            </w:pPr>
            <w:r>
              <w:rPr>
                <w:rFonts w:ascii="Arial" w:hAnsi="Arial" w:cs="Arial"/>
                <w:b/>
                <w:sz w:val="20"/>
                <w:szCs w:val="20"/>
              </w:rPr>
              <w:t>Author</w:t>
            </w:r>
          </w:p>
        </w:tc>
        <w:tc>
          <w:tcPr>
            <w:tcW w:w="5365" w:type="dxa"/>
          </w:tcPr>
          <w:p w14:paraId="0CDDE8A3" w14:textId="119BE222" w:rsidR="005A103B" w:rsidRDefault="005A103B" w:rsidP="005A103B">
            <w:pPr>
              <w:rPr>
                <w:rFonts w:ascii="Arial" w:hAnsi="Arial" w:cs="Arial"/>
                <w:b/>
                <w:sz w:val="20"/>
                <w:szCs w:val="20"/>
              </w:rPr>
            </w:pPr>
            <w:r>
              <w:rPr>
                <w:rFonts w:ascii="Arial" w:hAnsi="Arial" w:cs="Arial"/>
                <w:sz w:val="20"/>
                <w:szCs w:val="20"/>
              </w:rPr>
              <w:t>Jeannie Hutton, Sr. Manager Technical Accounting</w:t>
            </w:r>
          </w:p>
        </w:tc>
        <w:tc>
          <w:tcPr>
            <w:tcW w:w="1350" w:type="dxa"/>
          </w:tcPr>
          <w:p w14:paraId="38325BCE" w14:textId="0F4527C3" w:rsidR="005A103B" w:rsidRPr="005A103B" w:rsidRDefault="005A103B" w:rsidP="005A103B">
            <w:pPr>
              <w:rPr>
                <w:rFonts w:ascii="Arial" w:hAnsi="Arial" w:cs="Arial"/>
                <w:sz w:val="20"/>
                <w:szCs w:val="20"/>
              </w:rPr>
            </w:pPr>
            <w:r w:rsidRPr="005A103B">
              <w:rPr>
                <w:rFonts w:ascii="Arial" w:hAnsi="Arial" w:cs="Arial"/>
                <w:sz w:val="20"/>
                <w:szCs w:val="20"/>
              </w:rPr>
              <w:t>12/7/2020</w:t>
            </w:r>
          </w:p>
        </w:tc>
      </w:tr>
      <w:tr w:rsidR="005A103B" w:rsidRPr="005A103B" w14:paraId="4DFA0B85" w14:textId="77777777" w:rsidTr="005A103B">
        <w:tc>
          <w:tcPr>
            <w:tcW w:w="2280" w:type="dxa"/>
          </w:tcPr>
          <w:p w14:paraId="2F90AC42" w14:textId="4FA01A38" w:rsidR="005A103B" w:rsidRDefault="005A103B" w:rsidP="005A103B">
            <w:pPr>
              <w:rPr>
                <w:rFonts w:ascii="Arial" w:hAnsi="Arial" w:cs="Arial"/>
                <w:b/>
                <w:sz w:val="20"/>
                <w:szCs w:val="20"/>
              </w:rPr>
            </w:pPr>
            <w:r>
              <w:rPr>
                <w:rFonts w:ascii="Arial" w:hAnsi="Arial" w:cs="Arial"/>
                <w:b/>
                <w:sz w:val="20"/>
                <w:szCs w:val="20"/>
              </w:rPr>
              <w:t>Approved by</w:t>
            </w:r>
          </w:p>
        </w:tc>
        <w:tc>
          <w:tcPr>
            <w:tcW w:w="5365" w:type="dxa"/>
          </w:tcPr>
          <w:p w14:paraId="5C2D2A9B" w14:textId="16A96450" w:rsidR="005A103B" w:rsidRPr="005A103B" w:rsidRDefault="005A103B" w:rsidP="005A103B">
            <w:pPr>
              <w:rPr>
                <w:rFonts w:ascii="Arial" w:hAnsi="Arial" w:cs="Arial"/>
                <w:sz w:val="20"/>
                <w:szCs w:val="20"/>
              </w:rPr>
            </w:pPr>
            <w:r w:rsidRPr="005A103B">
              <w:rPr>
                <w:rFonts w:ascii="Arial" w:hAnsi="Arial" w:cs="Arial"/>
                <w:sz w:val="20"/>
                <w:szCs w:val="20"/>
              </w:rPr>
              <w:t>Greg Anglum, Chief Financial Officer</w:t>
            </w:r>
          </w:p>
        </w:tc>
        <w:tc>
          <w:tcPr>
            <w:tcW w:w="1350" w:type="dxa"/>
          </w:tcPr>
          <w:p w14:paraId="4BC852DA" w14:textId="0A157250" w:rsidR="005A103B" w:rsidRPr="005A103B" w:rsidRDefault="005A103B" w:rsidP="005A103B">
            <w:pPr>
              <w:rPr>
                <w:rFonts w:ascii="Arial" w:hAnsi="Arial" w:cs="Arial"/>
                <w:sz w:val="20"/>
                <w:szCs w:val="20"/>
              </w:rPr>
            </w:pPr>
            <w:r w:rsidRPr="005A103B">
              <w:rPr>
                <w:rFonts w:ascii="Arial" w:hAnsi="Arial" w:cs="Arial"/>
                <w:sz w:val="20"/>
                <w:szCs w:val="20"/>
              </w:rPr>
              <w:t>12/7/2020</w:t>
            </w:r>
          </w:p>
        </w:tc>
      </w:tr>
    </w:tbl>
    <w:p w14:paraId="55E09C1F" w14:textId="537E5B37" w:rsidR="005A103B" w:rsidRDefault="005A103B" w:rsidP="00C677BC">
      <w:pPr>
        <w:ind w:left="360"/>
        <w:rPr>
          <w:rFonts w:ascii="Arial" w:hAnsi="Arial" w:cs="Arial"/>
          <w:b/>
          <w:sz w:val="20"/>
          <w:szCs w:val="20"/>
        </w:rPr>
      </w:pPr>
    </w:p>
    <w:p w14:paraId="317E3BE0" w14:textId="1A189301" w:rsidR="005A103B" w:rsidRPr="005A103B" w:rsidRDefault="005A103B" w:rsidP="00C677BC">
      <w:pPr>
        <w:ind w:left="360"/>
        <w:rPr>
          <w:rFonts w:ascii="Arial" w:hAnsi="Arial" w:cs="Arial"/>
          <w:b/>
          <w:sz w:val="20"/>
          <w:szCs w:val="20"/>
        </w:rPr>
      </w:pPr>
      <w:r>
        <w:rPr>
          <w:rFonts w:ascii="Arial" w:hAnsi="Arial" w:cs="Arial"/>
          <w:b/>
          <w:sz w:val="20"/>
          <w:szCs w:val="20"/>
        </w:rPr>
        <w:t>Revision History</w:t>
      </w:r>
    </w:p>
    <w:tbl>
      <w:tblPr>
        <w:tblStyle w:val="TableGrid"/>
        <w:tblW w:w="8995" w:type="dxa"/>
        <w:tblInd w:w="360" w:type="dxa"/>
        <w:tblLook w:val="04A0" w:firstRow="1" w:lastRow="0" w:firstColumn="1" w:lastColumn="0" w:noHBand="0" w:noVBand="1"/>
      </w:tblPr>
      <w:tblGrid>
        <w:gridCol w:w="1255"/>
        <w:gridCol w:w="3246"/>
        <w:gridCol w:w="4494"/>
      </w:tblGrid>
      <w:tr w:rsidR="005A103B" w14:paraId="08D736A8" w14:textId="77777777" w:rsidTr="005A103B">
        <w:tc>
          <w:tcPr>
            <w:tcW w:w="1255" w:type="dxa"/>
          </w:tcPr>
          <w:p w14:paraId="19B8F602" w14:textId="57041BD3" w:rsidR="005A103B" w:rsidRDefault="005A103B" w:rsidP="005A103B">
            <w:pPr>
              <w:jc w:val="center"/>
              <w:rPr>
                <w:rFonts w:ascii="Arial" w:hAnsi="Arial" w:cs="Arial"/>
                <w:sz w:val="20"/>
                <w:szCs w:val="20"/>
              </w:rPr>
            </w:pPr>
            <w:r>
              <w:rPr>
                <w:rFonts w:ascii="Arial" w:hAnsi="Arial" w:cs="Arial"/>
                <w:sz w:val="20"/>
                <w:szCs w:val="20"/>
              </w:rPr>
              <w:t>Current Version</w:t>
            </w:r>
          </w:p>
        </w:tc>
        <w:tc>
          <w:tcPr>
            <w:tcW w:w="3246" w:type="dxa"/>
          </w:tcPr>
          <w:p w14:paraId="67C259C8" w14:textId="5EEF3D8C" w:rsidR="005A103B" w:rsidRDefault="005A103B" w:rsidP="005A103B">
            <w:pPr>
              <w:rPr>
                <w:rFonts w:ascii="Arial" w:hAnsi="Arial" w:cs="Arial"/>
                <w:sz w:val="20"/>
                <w:szCs w:val="20"/>
              </w:rPr>
            </w:pPr>
            <w:r>
              <w:rPr>
                <w:rFonts w:ascii="Arial" w:hAnsi="Arial" w:cs="Arial"/>
                <w:sz w:val="20"/>
                <w:szCs w:val="20"/>
              </w:rPr>
              <w:t>Major Changes</w:t>
            </w:r>
          </w:p>
        </w:tc>
        <w:tc>
          <w:tcPr>
            <w:tcW w:w="4494" w:type="dxa"/>
          </w:tcPr>
          <w:p w14:paraId="2F8E8027" w14:textId="43A5FDCB" w:rsidR="005A103B" w:rsidRDefault="005A103B" w:rsidP="005A103B">
            <w:pPr>
              <w:rPr>
                <w:rFonts w:ascii="Arial" w:hAnsi="Arial" w:cs="Arial"/>
                <w:sz w:val="20"/>
                <w:szCs w:val="20"/>
              </w:rPr>
            </w:pPr>
            <w:r>
              <w:rPr>
                <w:rFonts w:ascii="Arial" w:hAnsi="Arial" w:cs="Arial"/>
                <w:sz w:val="20"/>
                <w:szCs w:val="20"/>
              </w:rPr>
              <w:t>Reason for Change</w:t>
            </w:r>
          </w:p>
        </w:tc>
      </w:tr>
      <w:tr w:rsidR="005A103B" w14:paraId="1D6EED0F" w14:textId="77777777" w:rsidTr="005A103B">
        <w:tc>
          <w:tcPr>
            <w:tcW w:w="1255" w:type="dxa"/>
          </w:tcPr>
          <w:p w14:paraId="43588061" w14:textId="59A023DA" w:rsidR="005A103B" w:rsidRDefault="005A103B" w:rsidP="005A103B">
            <w:pPr>
              <w:jc w:val="center"/>
              <w:rPr>
                <w:rFonts w:ascii="Arial" w:hAnsi="Arial" w:cs="Arial"/>
                <w:sz w:val="20"/>
                <w:szCs w:val="20"/>
              </w:rPr>
            </w:pPr>
            <w:r>
              <w:rPr>
                <w:rFonts w:ascii="Arial" w:hAnsi="Arial" w:cs="Arial"/>
                <w:sz w:val="20"/>
                <w:szCs w:val="20"/>
              </w:rPr>
              <w:t>1.0</w:t>
            </w:r>
          </w:p>
        </w:tc>
        <w:tc>
          <w:tcPr>
            <w:tcW w:w="3246" w:type="dxa"/>
          </w:tcPr>
          <w:p w14:paraId="3541EFAB" w14:textId="1443E22D" w:rsidR="005A103B" w:rsidRDefault="005A103B" w:rsidP="00C677BC">
            <w:pPr>
              <w:rPr>
                <w:rFonts w:ascii="Arial" w:hAnsi="Arial" w:cs="Arial"/>
                <w:sz w:val="20"/>
                <w:szCs w:val="20"/>
              </w:rPr>
            </w:pPr>
            <w:r>
              <w:rPr>
                <w:rFonts w:ascii="Arial" w:hAnsi="Arial" w:cs="Arial"/>
                <w:sz w:val="20"/>
                <w:szCs w:val="20"/>
              </w:rPr>
              <w:t>Original CECL Policy</w:t>
            </w:r>
          </w:p>
        </w:tc>
        <w:tc>
          <w:tcPr>
            <w:tcW w:w="4494" w:type="dxa"/>
          </w:tcPr>
          <w:p w14:paraId="79571935" w14:textId="4B2952AA" w:rsidR="005A103B" w:rsidRDefault="005A103B" w:rsidP="00C677BC">
            <w:pPr>
              <w:rPr>
                <w:rFonts w:ascii="Arial" w:hAnsi="Arial" w:cs="Arial"/>
                <w:sz w:val="20"/>
                <w:szCs w:val="20"/>
              </w:rPr>
            </w:pPr>
            <w:r>
              <w:rPr>
                <w:rFonts w:ascii="Arial" w:hAnsi="Arial" w:cs="Arial"/>
                <w:sz w:val="20"/>
                <w:szCs w:val="20"/>
              </w:rPr>
              <w:t>New Guidance Adopted 2020</w:t>
            </w:r>
          </w:p>
        </w:tc>
      </w:tr>
    </w:tbl>
    <w:p w14:paraId="1770CDB0" w14:textId="77777777" w:rsidR="005A103B" w:rsidRDefault="005A103B" w:rsidP="00C677BC">
      <w:pPr>
        <w:ind w:left="360"/>
        <w:rPr>
          <w:rFonts w:ascii="Arial" w:hAnsi="Arial" w:cs="Arial"/>
          <w:sz w:val="20"/>
          <w:szCs w:val="20"/>
        </w:rPr>
      </w:pPr>
      <w:bookmarkStart w:id="0" w:name="_GoBack"/>
      <w:bookmarkEnd w:id="0"/>
    </w:p>
    <w:sectPr w:rsidR="005A103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78E5C" w14:textId="77777777" w:rsidR="00B47D18" w:rsidRDefault="00B47D18" w:rsidP="00947870">
      <w:pPr>
        <w:spacing w:after="0" w:line="240" w:lineRule="auto"/>
      </w:pPr>
      <w:r>
        <w:separator/>
      </w:r>
    </w:p>
  </w:endnote>
  <w:endnote w:type="continuationSeparator" w:id="0">
    <w:p w14:paraId="67920C5B" w14:textId="77777777" w:rsidR="00B47D18" w:rsidRDefault="00B47D18" w:rsidP="00947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9CD4F" w14:textId="77777777" w:rsidR="005A103B" w:rsidRDefault="005A1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141711"/>
      <w:docPartObj>
        <w:docPartGallery w:val="Page Numbers (Bottom of Page)"/>
        <w:docPartUnique/>
      </w:docPartObj>
    </w:sdtPr>
    <w:sdtEndPr/>
    <w:sdtContent>
      <w:sdt>
        <w:sdtPr>
          <w:id w:val="-1769616900"/>
          <w:docPartObj>
            <w:docPartGallery w:val="Page Numbers (Top of Page)"/>
            <w:docPartUnique/>
          </w:docPartObj>
        </w:sdtPr>
        <w:sdtEndPr/>
        <w:sdtContent>
          <w:p w14:paraId="76BFCEDE" w14:textId="3F8A2C56" w:rsidR="00947870" w:rsidRDefault="0094787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A371E">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A371E">
              <w:rPr>
                <w:b/>
                <w:bCs/>
                <w:noProof/>
              </w:rPr>
              <w:t>4</w:t>
            </w:r>
            <w:r>
              <w:rPr>
                <w:b/>
                <w:bCs/>
                <w:sz w:val="24"/>
                <w:szCs w:val="24"/>
              </w:rPr>
              <w:fldChar w:fldCharType="end"/>
            </w:r>
          </w:p>
        </w:sdtContent>
      </w:sdt>
    </w:sdtContent>
  </w:sdt>
  <w:p w14:paraId="5EF163F3" w14:textId="035D4B4D" w:rsidR="00947870" w:rsidRDefault="005A103B">
    <w:pPr>
      <w:pStyle w:val="Footer"/>
    </w:pPr>
    <w:r>
      <w:t>Confidential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7B266" w14:textId="77777777" w:rsidR="005A103B" w:rsidRDefault="005A1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E96E4" w14:textId="77777777" w:rsidR="00B47D18" w:rsidRDefault="00B47D18" w:rsidP="00947870">
      <w:pPr>
        <w:spacing w:after="0" w:line="240" w:lineRule="auto"/>
      </w:pPr>
      <w:r>
        <w:separator/>
      </w:r>
    </w:p>
  </w:footnote>
  <w:footnote w:type="continuationSeparator" w:id="0">
    <w:p w14:paraId="3CC88ED3" w14:textId="77777777" w:rsidR="00B47D18" w:rsidRDefault="00B47D18" w:rsidP="00947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DAF51" w14:textId="2B5E9697" w:rsidR="00D701BC" w:rsidRDefault="00D701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A5887" w14:textId="66C3EF67" w:rsidR="00D701BC" w:rsidRDefault="00C87BFD" w:rsidP="00C87BFD">
    <w:pPr>
      <w:pStyle w:val="Header"/>
      <w:ind w:left="720"/>
    </w:pPr>
    <w:r w:rsidRPr="009D04F9">
      <w:rPr>
        <w:noProof/>
      </w:rPr>
      <w:drawing>
        <wp:anchor distT="0" distB="0" distL="114300" distR="114300" simplePos="0" relativeHeight="251665408" behindDoc="1" locked="0" layoutInCell="1" allowOverlap="1" wp14:anchorId="527C9400" wp14:editId="63A0B6A6">
          <wp:simplePos x="0" y="0"/>
          <wp:positionH relativeFrom="column">
            <wp:posOffset>4330700</wp:posOffset>
          </wp:positionH>
          <wp:positionV relativeFrom="paragraph">
            <wp:posOffset>-247650</wp:posOffset>
          </wp:positionV>
          <wp:extent cx="1863725" cy="465455"/>
          <wp:effectExtent l="0" t="0" r="317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3725" cy="465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63A6D" w14:textId="7D2263E0" w:rsidR="00D701BC" w:rsidRDefault="00D701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92443"/>
    <w:multiLevelType w:val="hybridMultilevel"/>
    <w:tmpl w:val="ABA8F4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E62BB8"/>
    <w:multiLevelType w:val="multilevel"/>
    <w:tmpl w:val="C5E2E3AC"/>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 w15:restartNumberingAfterBreak="0">
    <w:nsid w:val="0A3E2273"/>
    <w:multiLevelType w:val="multilevel"/>
    <w:tmpl w:val="9B78D906"/>
    <w:lvl w:ilvl="0">
      <w:start w:val="1"/>
      <w:numFmt w:val="bullet"/>
      <w:lvlText w:val=""/>
      <w:lvlJc w:val="left"/>
      <w:pPr>
        <w:tabs>
          <w:tab w:val="num" w:pos="660"/>
        </w:tabs>
        <w:ind w:left="660" w:hanging="660"/>
      </w:pPr>
      <w:rPr>
        <w:rFonts w:ascii="Symbol" w:hAnsi="Symbol" w:hint="default"/>
      </w:rPr>
    </w:lvl>
    <w:lvl w:ilvl="1">
      <w:start w:val="7"/>
      <w:numFmt w:val="decimal"/>
      <w:lvlText w:val="%2"/>
      <w:lvlJc w:val="left"/>
      <w:pPr>
        <w:tabs>
          <w:tab w:val="num" w:pos="930"/>
        </w:tabs>
        <w:ind w:left="930" w:hanging="660"/>
      </w:pPr>
      <w:rPr>
        <w:rFonts w:ascii="Century Gothic" w:eastAsia="Times New Roman" w:hAnsi="Century Gothic" w:cs="Times New Roman" w:hint="default"/>
      </w:rPr>
    </w:lvl>
    <w:lvl w:ilvl="2">
      <w:start w:val="1"/>
      <w:numFmt w:val="decimal"/>
      <w:lvlText w:val="2.%2.%3"/>
      <w:lvlJc w:val="left"/>
      <w:pPr>
        <w:tabs>
          <w:tab w:val="num" w:pos="720"/>
        </w:tabs>
        <w:ind w:left="720" w:hanging="720"/>
      </w:pPr>
      <w:rPr>
        <w:rFonts w:hint="default"/>
        <w:b w:val="0"/>
        <w:sz w:val="20"/>
        <w:szCs w:val="20"/>
      </w:rPr>
    </w:lvl>
    <w:lvl w:ilvl="3">
      <w:start w:val="1"/>
      <w:numFmt w:val="decimal"/>
      <w:lvlText w:val="%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2C04F2"/>
    <w:multiLevelType w:val="hybridMultilevel"/>
    <w:tmpl w:val="DE18C7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E287437"/>
    <w:multiLevelType w:val="hybridMultilevel"/>
    <w:tmpl w:val="768683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D05FB3"/>
    <w:multiLevelType w:val="hybridMultilevel"/>
    <w:tmpl w:val="2968F60C"/>
    <w:lvl w:ilvl="0" w:tplc="04090005">
      <w:start w:val="1"/>
      <w:numFmt w:val="bullet"/>
      <w:lvlText w:val=""/>
      <w:lvlJc w:val="left"/>
      <w:pPr>
        <w:ind w:left="720" w:hanging="360"/>
      </w:pPr>
      <w:rPr>
        <w:rFonts w:ascii="Wingdings" w:hAnsi="Wingdings"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A5484F"/>
    <w:multiLevelType w:val="hybridMultilevel"/>
    <w:tmpl w:val="84C4CC3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10E4C43"/>
    <w:multiLevelType w:val="hybridMultilevel"/>
    <w:tmpl w:val="77D23B24"/>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6AB908FF"/>
    <w:multiLevelType w:val="hybridMultilevel"/>
    <w:tmpl w:val="221849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5"/>
  </w:num>
  <w:num w:numId="4">
    <w:abstractNumId w:val="6"/>
  </w:num>
  <w:num w:numId="5">
    <w:abstractNumId w:val="1"/>
  </w:num>
  <w:num w:numId="6">
    <w:abstractNumId w:val="7"/>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81"/>
    <w:rsid w:val="00040E9F"/>
    <w:rsid w:val="000464BE"/>
    <w:rsid w:val="00066856"/>
    <w:rsid w:val="00090843"/>
    <w:rsid w:val="000B555D"/>
    <w:rsid w:val="000C7C70"/>
    <w:rsid w:val="000E0A9B"/>
    <w:rsid w:val="000E236F"/>
    <w:rsid w:val="00103C90"/>
    <w:rsid w:val="001352A0"/>
    <w:rsid w:val="001A3B5B"/>
    <w:rsid w:val="001D2544"/>
    <w:rsid w:val="001D3EE2"/>
    <w:rsid w:val="001D646B"/>
    <w:rsid w:val="001F0056"/>
    <w:rsid w:val="00227EDC"/>
    <w:rsid w:val="00240089"/>
    <w:rsid w:val="00253EDD"/>
    <w:rsid w:val="00286A8B"/>
    <w:rsid w:val="002925BE"/>
    <w:rsid w:val="002B16BF"/>
    <w:rsid w:val="00314E5D"/>
    <w:rsid w:val="00341587"/>
    <w:rsid w:val="00347993"/>
    <w:rsid w:val="003620CA"/>
    <w:rsid w:val="003654C0"/>
    <w:rsid w:val="00391E0D"/>
    <w:rsid w:val="003B4283"/>
    <w:rsid w:val="003E7DBB"/>
    <w:rsid w:val="003F58C5"/>
    <w:rsid w:val="00407571"/>
    <w:rsid w:val="00421533"/>
    <w:rsid w:val="0042625E"/>
    <w:rsid w:val="00434D30"/>
    <w:rsid w:val="00447EF2"/>
    <w:rsid w:val="00472BB2"/>
    <w:rsid w:val="00473A4E"/>
    <w:rsid w:val="004C599D"/>
    <w:rsid w:val="004C6DEE"/>
    <w:rsid w:val="004C7321"/>
    <w:rsid w:val="004D7D00"/>
    <w:rsid w:val="004F4D79"/>
    <w:rsid w:val="00501CB7"/>
    <w:rsid w:val="0052121A"/>
    <w:rsid w:val="00571C4B"/>
    <w:rsid w:val="00580559"/>
    <w:rsid w:val="005A03DD"/>
    <w:rsid w:val="005A103B"/>
    <w:rsid w:val="005A371E"/>
    <w:rsid w:val="005C3E7D"/>
    <w:rsid w:val="005C6EE9"/>
    <w:rsid w:val="005E12E8"/>
    <w:rsid w:val="00635EF3"/>
    <w:rsid w:val="006A3949"/>
    <w:rsid w:val="006A63BE"/>
    <w:rsid w:val="006B5D39"/>
    <w:rsid w:val="006D1B76"/>
    <w:rsid w:val="006E0E30"/>
    <w:rsid w:val="00726435"/>
    <w:rsid w:val="007411A3"/>
    <w:rsid w:val="007646B8"/>
    <w:rsid w:val="00790C0B"/>
    <w:rsid w:val="007A071C"/>
    <w:rsid w:val="007B2CD3"/>
    <w:rsid w:val="007B7227"/>
    <w:rsid w:val="007E0548"/>
    <w:rsid w:val="007E2CF9"/>
    <w:rsid w:val="007E64CF"/>
    <w:rsid w:val="00801620"/>
    <w:rsid w:val="00811205"/>
    <w:rsid w:val="00821914"/>
    <w:rsid w:val="00825FD8"/>
    <w:rsid w:val="008266CC"/>
    <w:rsid w:val="00850868"/>
    <w:rsid w:val="00854BFF"/>
    <w:rsid w:val="00870EBA"/>
    <w:rsid w:val="00877386"/>
    <w:rsid w:val="00880440"/>
    <w:rsid w:val="00894E41"/>
    <w:rsid w:val="008A7E81"/>
    <w:rsid w:val="008B144F"/>
    <w:rsid w:val="008B2948"/>
    <w:rsid w:val="00917C17"/>
    <w:rsid w:val="00945176"/>
    <w:rsid w:val="00947870"/>
    <w:rsid w:val="00953BCD"/>
    <w:rsid w:val="009838A8"/>
    <w:rsid w:val="00A000FE"/>
    <w:rsid w:val="00A004FC"/>
    <w:rsid w:val="00A20F53"/>
    <w:rsid w:val="00A32C59"/>
    <w:rsid w:val="00A53A3C"/>
    <w:rsid w:val="00A73F26"/>
    <w:rsid w:val="00AE52E9"/>
    <w:rsid w:val="00AF104F"/>
    <w:rsid w:val="00B205EB"/>
    <w:rsid w:val="00B369D6"/>
    <w:rsid w:val="00B47D18"/>
    <w:rsid w:val="00B5292F"/>
    <w:rsid w:val="00B620DB"/>
    <w:rsid w:val="00B67F3B"/>
    <w:rsid w:val="00B87510"/>
    <w:rsid w:val="00BA172F"/>
    <w:rsid w:val="00BA4F55"/>
    <w:rsid w:val="00BC0253"/>
    <w:rsid w:val="00BC5577"/>
    <w:rsid w:val="00BC5AFB"/>
    <w:rsid w:val="00BF1C37"/>
    <w:rsid w:val="00C07371"/>
    <w:rsid w:val="00C44D20"/>
    <w:rsid w:val="00C63208"/>
    <w:rsid w:val="00C641D7"/>
    <w:rsid w:val="00C677BC"/>
    <w:rsid w:val="00C753AF"/>
    <w:rsid w:val="00C87BFD"/>
    <w:rsid w:val="00CB611C"/>
    <w:rsid w:val="00CC66AA"/>
    <w:rsid w:val="00D05F03"/>
    <w:rsid w:val="00D22936"/>
    <w:rsid w:val="00D56024"/>
    <w:rsid w:val="00D701BC"/>
    <w:rsid w:val="00DA0F77"/>
    <w:rsid w:val="00DA3E7A"/>
    <w:rsid w:val="00DE0550"/>
    <w:rsid w:val="00DE788F"/>
    <w:rsid w:val="00DF50C8"/>
    <w:rsid w:val="00E224D8"/>
    <w:rsid w:val="00E263CB"/>
    <w:rsid w:val="00E27063"/>
    <w:rsid w:val="00E27153"/>
    <w:rsid w:val="00E4255F"/>
    <w:rsid w:val="00E46C29"/>
    <w:rsid w:val="00E608B6"/>
    <w:rsid w:val="00E73B10"/>
    <w:rsid w:val="00E942A0"/>
    <w:rsid w:val="00E943F3"/>
    <w:rsid w:val="00E96252"/>
    <w:rsid w:val="00EA5A6B"/>
    <w:rsid w:val="00EC09DB"/>
    <w:rsid w:val="00EC21A3"/>
    <w:rsid w:val="00EC5926"/>
    <w:rsid w:val="00ED5903"/>
    <w:rsid w:val="00EF4CAF"/>
    <w:rsid w:val="00F11BEB"/>
    <w:rsid w:val="00F16FA3"/>
    <w:rsid w:val="00F44CC0"/>
    <w:rsid w:val="00FA7B08"/>
    <w:rsid w:val="00FD03A7"/>
    <w:rsid w:val="00FF3FE7"/>
    <w:rsid w:val="00FF7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AA15ED"/>
  <w15:chartTrackingRefBased/>
  <w15:docId w15:val="{5946557F-0354-4181-A6EA-DFE00A07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A172F"/>
    <w:rPr>
      <w:sz w:val="16"/>
      <w:szCs w:val="16"/>
    </w:rPr>
  </w:style>
  <w:style w:type="paragraph" w:styleId="CommentText">
    <w:name w:val="annotation text"/>
    <w:basedOn w:val="Normal"/>
    <w:link w:val="CommentTextChar"/>
    <w:uiPriority w:val="99"/>
    <w:semiHidden/>
    <w:unhideWhenUsed/>
    <w:rsid w:val="00BA172F"/>
    <w:pPr>
      <w:spacing w:line="240" w:lineRule="auto"/>
    </w:pPr>
    <w:rPr>
      <w:sz w:val="20"/>
      <w:szCs w:val="20"/>
    </w:rPr>
  </w:style>
  <w:style w:type="character" w:customStyle="1" w:styleId="CommentTextChar">
    <w:name w:val="Comment Text Char"/>
    <w:basedOn w:val="DefaultParagraphFont"/>
    <w:link w:val="CommentText"/>
    <w:uiPriority w:val="99"/>
    <w:semiHidden/>
    <w:rsid w:val="00BA172F"/>
    <w:rPr>
      <w:sz w:val="20"/>
      <w:szCs w:val="20"/>
    </w:rPr>
  </w:style>
  <w:style w:type="paragraph" w:styleId="CommentSubject">
    <w:name w:val="annotation subject"/>
    <w:basedOn w:val="CommentText"/>
    <w:next w:val="CommentText"/>
    <w:link w:val="CommentSubjectChar"/>
    <w:uiPriority w:val="99"/>
    <w:semiHidden/>
    <w:unhideWhenUsed/>
    <w:rsid w:val="00BA172F"/>
    <w:rPr>
      <w:b/>
      <w:bCs/>
    </w:rPr>
  </w:style>
  <w:style w:type="character" w:customStyle="1" w:styleId="CommentSubjectChar">
    <w:name w:val="Comment Subject Char"/>
    <w:basedOn w:val="CommentTextChar"/>
    <w:link w:val="CommentSubject"/>
    <w:uiPriority w:val="99"/>
    <w:semiHidden/>
    <w:rsid w:val="00BA172F"/>
    <w:rPr>
      <w:b/>
      <w:bCs/>
      <w:sz w:val="20"/>
      <w:szCs w:val="20"/>
    </w:rPr>
  </w:style>
  <w:style w:type="paragraph" w:styleId="BalloonText">
    <w:name w:val="Balloon Text"/>
    <w:basedOn w:val="Normal"/>
    <w:link w:val="BalloonTextChar"/>
    <w:uiPriority w:val="99"/>
    <w:semiHidden/>
    <w:unhideWhenUsed/>
    <w:rsid w:val="00BA17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72F"/>
    <w:rPr>
      <w:rFonts w:ascii="Segoe UI" w:hAnsi="Segoe UI" w:cs="Segoe UI"/>
      <w:sz w:val="18"/>
      <w:szCs w:val="18"/>
    </w:rPr>
  </w:style>
  <w:style w:type="paragraph" w:styleId="ListParagraph">
    <w:name w:val="List Paragraph"/>
    <w:basedOn w:val="Normal"/>
    <w:uiPriority w:val="34"/>
    <w:qFormat/>
    <w:rsid w:val="00B620DB"/>
    <w:pPr>
      <w:ind w:left="720"/>
      <w:contextualSpacing/>
    </w:pPr>
  </w:style>
  <w:style w:type="paragraph" w:styleId="Header">
    <w:name w:val="header"/>
    <w:basedOn w:val="Normal"/>
    <w:link w:val="HeaderChar"/>
    <w:uiPriority w:val="99"/>
    <w:unhideWhenUsed/>
    <w:rsid w:val="00947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870"/>
  </w:style>
  <w:style w:type="paragraph" w:styleId="Footer">
    <w:name w:val="footer"/>
    <w:basedOn w:val="Normal"/>
    <w:link w:val="FooterChar"/>
    <w:uiPriority w:val="99"/>
    <w:unhideWhenUsed/>
    <w:rsid w:val="00947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870"/>
  </w:style>
  <w:style w:type="table" w:styleId="TableGrid">
    <w:name w:val="Table Grid"/>
    <w:basedOn w:val="TableNormal"/>
    <w:uiPriority w:val="39"/>
    <w:rsid w:val="006A6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8AF01-0D27-4B77-965A-2958D171F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1661</Words>
  <Characters>9471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Bioventus</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Millikan</dc:creator>
  <cp:keywords/>
  <dc:description/>
  <cp:lastModifiedBy>Jeannie Hutton</cp:lastModifiedBy>
  <cp:revision>4</cp:revision>
  <cp:lastPrinted>2020-10-15T16:43:00Z</cp:lastPrinted>
  <dcterms:created xsi:type="dcterms:W3CDTF">2020-12-01T18:47:00Z</dcterms:created>
  <dcterms:modified xsi:type="dcterms:W3CDTF">2020-12-21T18:10:00Z</dcterms:modified>
</cp:coreProperties>
</file>